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小标宋简体" w:hAnsi="方正小标宋简体" w:eastAsia="方正小标宋简体" w:cs="方正小标宋简体"/>
          <w:color w:val="000000"/>
          <w:sz w:val="44"/>
          <w:szCs w:val="44"/>
          <w:highlight w:val="none"/>
          <w:lang w:val="en-US" w:eastAsia="zh-CN"/>
        </w:rPr>
      </w:pPr>
      <w:bookmarkStart w:id="1" w:name="_GoBack"/>
      <w:bookmarkEnd w:id="1"/>
      <w:r>
        <w:rPr>
          <w:rFonts w:hint="eastAsia" w:ascii="方正小标宋简体" w:hAnsi="方正小标宋简体" w:eastAsia="方正小标宋简体" w:cs="方正小标宋简体"/>
          <w:color w:val="000000"/>
          <w:sz w:val="44"/>
          <w:szCs w:val="44"/>
          <w:highlight w:val="none"/>
          <w:lang w:val="en-US" w:eastAsia="zh-CN"/>
        </w:rPr>
        <w:t>喀喇沁旗2026年高素质农牧民</w:t>
      </w:r>
    </w:p>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小标宋简体" w:hAnsi="方正小标宋简体" w:eastAsia="方正小标宋简体" w:cs="方正小标宋简体"/>
          <w:color w:val="000000"/>
          <w:sz w:val="44"/>
          <w:szCs w:val="44"/>
          <w:highlight w:val="none"/>
          <w:lang w:val="en-US" w:eastAsia="zh-CN"/>
        </w:rPr>
      </w:pPr>
      <w:r>
        <w:rPr>
          <w:rFonts w:hint="eastAsia" w:ascii="方正小标宋简体" w:hAnsi="方正小标宋简体" w:eastAsia="方正小标宋简体" w:cs="方正小标宋简体"/>
          <w:color w:val="000000"/>
          <w:sz w:val="44"/>
          <w:szCs w:val="44"/>
          <w:highlight w:val="none"/>
          <w:lang w:val="en-US" w:eastAsia="zh-CN"/>
        </w:rPr>
        <w:t>培育工作方案</w:t>
      </w:r>
    </w:p>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小标宋简体" w:hAnsi="方正小标宋简体" w:eastAsia="方正小标宋简体" w:cs="方正小标宋简体"/>
          <w:color w:val="000000"/>
          <w:sz w:val="44"/>
          <w:szCs w:val="44"/>
          <w:highlight w:val="none"/>
          <w:lang w:val="en" w:eastAsia="zh-CN"/>
        </w:rPr>
      </w:pPr>
    </w:p>
    <w:p>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根据</w:t>
      </w:r>
      <w:r>
        <w:rPr>
          <w:rFonts w:hint="eastAsia" w:ascii="仿宋_GB2312" w:hAnsi="仿宋_GB2312" w:eastAsia="仿宋_GB2312" w:cs="仿宋_GB2312"/>
          <w:sz w:val="32"/>
          <w:szCs w:val="32"/>
          <w:highlight w:val="none"/>
          <w:lang w:eastAsia="zh-CN"/>
        </w:rPr>
        <w:t>赤峰市农牧局《关于印发</w:t>
      </w:r>
      <w:r>
        <w:rPr>
          <w:rFonts w:hint="default" w:ascii="仿宋_GB2312" w:hAnsi="仿宋_GB2312" w:eastAsia="仿宋_GB2312" w:cs="仿宋_GB2312"/>
          <w:sz w:val="32"/>
          <w:szCs w:val="32"/>
          <w:highlight w:val="none"/>
          <w:lang w:val="en-US" w:eastAsia="zh-CN"/>
        </w:rPr>
        <w:t>&lt;</w:t>
      </w: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eastAsia="zh-CN"/>
        </w:rPr>
        <w:t>全市</w:t>
      </w:r>
      <w:r>
        <w:rPr>
          <w:rFonts w:hint="eastAsia" w:ascii="仿宋_GB2312" w:hAnsi="仿宋_GB2312" w:eastAsia="仿宋_GB2312" w:cs="仿宋_GB2312"/>
          <w:sz w:val="32"/>
          <w:szCs w:val="32"/>
          <w:highlight w:val="none"/>
        </w:rPr>
        <w:t>高素质农牧民培育工作方案</w:t>
      </w:r>
      <w:r>
        <w:rPr>
          <w:rFonts w:hint="default" w:ascii="仿宋_GB2312" w:hAnsi="仿宋_GB2312" w:eastAsia="仿宋_GB2312" w:cs="仿宋_GB2312"/>
          <w:sz w:val="32"/>
          <w:szCs w:val="32"/>
          <w:highlight w:val="none"/>
          <w:lang w:val="en-US"/>
        </w:rPr>
        <w:t>&gt;</w:t>
      </w:r>
      <w:r>
        <w:rPr>
          <w:rFonts w:hint="eastAsia" w:ascii="仿宋_GB2312" w:hAnsi="仿宋_GB2312" w:eastAsia="仿宋_GB2312" w:cs="仿宋_GB2312"/>
          <w:sz w:val="32"/>
          <w:szCs w:val="32"/>
          <w:highlight w:val="none"/>
          <w:lang w:eastAsia="zh-CN"/>
        </w:rPr>
        <w:t>的通知》</w:t>
      </w:r>
      <w:r>
        <w:rPr>
          <w:rFonts w:hint="default"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赤农牧乡建发〔</w:t>
      </w:r>
      <w:r>
        <w:rPr>
          <w:rFonts w:hint="default" w:ascii="仿宋_GB2312" w:hAnsi="仿宋_GB2312" w:eastAsia="仿宋_GB2312" w:cs="仿宋_GB2312"/>
          <w:sz w:val="32"/>
          <w:szCs w:val="32"/>
          <w:highlight w:val="none"/>
          <w:lang w:val="en-US" w:eastAsia="zh-CN"/>
        </w:rPr>
        <w:t>202</w:t>
      </w:r>
      <w:r>
        <w:rPr>
          <w:rFonts w:hint="eastAsia" w:ascii="仿宋_GB2312" w:hAnsi="仿宋_GB2312" w:eastAsia="仿宋_GB2312" w:cs="仿宋_GB2312"/>
          <w:sz w:val="32"/>
          <w:szCs w:val="32"/>
          <w:highlight w:val="none"/>
          <w:lang w:val="en-US" w:eastAsia="zh-CN"/>
        </w:rPr>
        <w:t>6〕8号）要求，结合我旗高素质农牧民培育工作实际和需求，特制定本方案。</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leftChars="200" w:firstLine="640" w:firstLineChars="200"/>
        <w:textAlignment w:val="auto"/>
        <w:rPr>
          <w:rFonts w:hint="eastAsia" w:ascii="黑体" w:hAnsi="黑体" w:eastAsia="黑体" w:cs="黑体"/>
          <w:color w:val="000000"/>
          <w:sz w:val="32"/>
          <w:szCs w:val="32"/>
          <w:highlight w:val="none"/>
          <w:lang w:val="en-US" w:eastAsia="zh-CN"/>
        </w:rPr>
      </w:pPr>
      <w:r>
        <w:rPr>
          <w:rFonts w:hint="eastAsia" w:ascii="黑体" w:hAnsi="黑体" w:eastAsia="黑体" w:cs="黑体"/>
          <w:color w:val="000000"/>
          <w:sz w:val="32"/>
          <w:szCs w:val="32"/>
          <w:highlight w:val="none"/>
          <w:lang w:val="en-US" w:eastAsia="zh-CN"/>
        </w:rPr>
        <w:t>一、总体要求及目标任务</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b w:val="0"/>
          <w:bCs w:val="0"/>
          <w:kern w:val="2"/>
          <w:sz w:val="32"/>
          <w:szCs w:val="32"/>
          <w:highlight w:val="none"/>
          <w:lang w:val="en-US" w:eastAsia="zh-CN" w:bidi="ar-SA"/>
        </w:rPr>
        <w:t>深入学习运用“千万工程”经验，紧紧围绕喀喇沁旗粮食和重要农产品稳产保供、巩固拓展脱贫攻坚成果、乡村特色产业发展壮大和文明乡风建设等人才需求，坚持需求导向、质量优先、突出实效，坚持分层实施、分级管理、育用结合，按照工程化、项目化方式组织实施高素质农民培育项目，为推进喀喇沁旗乡村全面振兴、建设农业强旗提供坚实人才保障。2026年喀喇沁旗高素质农民培育资金55.4万元，全为常规培训资金，培育高素质农民140人，农牧民参评率和满意度达90%以上，抽查合格率90%以上。</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eastAsia="黑体"/>
          <w:highlight w:val="none"/>
          <w:lang w:val="en-US" w:eastAsia="zh-CN"/>
        </w:rPr>
      </w:pPr>
      <w:r>
        <w:rPr>
          <w:rFonts w:hint="eastAsia" w:ascii="黑体" w:hAnsi="黑体" w:eastAsia="黑体" w:cs="黑体"/>
          <w:sz w:val="32"/>
          <w:szCs w:val="32"/>
          <w:highlight w:val="none"/>
          <w:lang w:val="en-US" w:eastAsia="zh-CN"/>
        </w:rPr>
        <w:t>二、</w:t>
      </w:r>
      <w:r>
        <w:rPr>
          <w:rFonts w:hint="eastAsia" w:ascii="黑体" w:hAnsi="黑体" w:eastAsia="黑体" w:cs="黑体"/>
          <w:sz w:val="32"/>
          <w:szCs w:val="32"/>
          <w:highlight w:val="none"/>
        </w:rPr>
        <w:t>重点</w:t>
      </w:r>
      <w:r>
        <w:rPr>
          <w:rFonts w:hint="eastAsia" w:ascii="黑体" w:hAnsi="黑体" w:eastAsia="黑体" w:cs="黑体"/>
          <w:sz w:val="32"/>
          <w:szCs w:val="32"/>
          <w:highlight w:val="none"/>
          <w:lang w:val="en-US" w:eastAsia="zh-CN"/>
        </w:rPr>
        <w:t>工作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highlight w:val="none"/>
          <w:lang w:val="en-US" w:eastAsia="zh-CN"/>
        </w:rPr>
      </w:pPr>
      <w:bookmarkStart w:id="0" w:name="OLE_LINK1"/>
      <w:r>
        <w:rPr>
          <w:rFonts w:hint="eastAsia" w:ascii="仿宋_GB2312" w:hAnsi="仿宋_GB2312" w:eastAsia="仿宋_GB2312" w:cs="仿宋_GB2312"/>
          <w:color w:val="000000"/>
          <w:sz w:val="32"/>
          <w:szCs w:val="32"/>
          <w:highlight w:val="none"/>
          <w:lang w:val="en-US" w:eastAsia="zh-CN"/>
        </w:rPr>
        <w:t>2026年高素质农民培育重点支持实施粮油和重要农畜产品生产经营主体提升，</w:t>
      </w:r>
      <w:r>
        <w:rPr>
          <w:rFonts w:hint="eastAsia" w:ascii="仿宋_GB2312" w:hAnsi="仿宋_GB2312" w:eastAsia="仿宋_GB2312" w:cs="仿宋_GB2312"/>
          <w:sz w:val="32"/>
          <w:szCs w:val="32"/>
          <w:highlight w:val="none"/>
        </w:rPr>
        <w:t>以守护国家粮食安全为核心，围绕</w:t>
      </w:r>
      <w:r>
        <w:rPr>
          <w:rFonts w:hint="eastAsia" w:ascii="仿宋_GB2312" w:hAnsi="仿宋_GB2312" w:eastAsia="仿宋_GB2312" w:cs="仿宋_GB2312"/>
          <w:sz w:val="32"/>
          <w:szCs w:val="32"/>
          <w:highlight w:val="none"/>
          <w:lang w:val="en-US" w:eastAsia="zh-CN"/>
        </w:rPr>
        <w:t>喀喇沁旗</w:t>
      </w:r>
      <w:r>
        <w:rPr>
          <w:rFonts w:hint="eastAsia" w:ascii="仿宋_GB2312" w:hAnsi="仿宋_GB2312" w:eastAsia="仿宋_GB2312" w:cs="仿宋_GB2312"/>
          <w:sz w:val="32"/>
          <w:szCs w:val="32"/>
          <w:highlight w:val="none"/>
          <w:lang w:eastAsia="zh-CN"/>
        </w:rPr>
        <w:t>农牧业主导产业、特色产业、优势产业以种、养殖专业大户、家庭农牧场、农牧民专业合作社、农牧业社会化组织、返乡务农创业人员等为培训重点、培育专业生产型高素质农牧民</w:t>
      </w:r>
      <w:r>
        <w:rPr>
          <w:rFonts w:hint="eastAsia" w:ascii="仿宋_GB2312" w:hAnsi="仿宋_GB2312" w:eastAsia="仿宋_GB2312" w:cs="仿宋_GB2312"/>
          <w:sz w:val="32"/>
          <w:szCs w:val="32"/>
          <w:highlight w:val="none"/>
          <w:lang w:val="en-US" w:eastAsia="zh-CN"/>
        </w:rPr>
        <w:t>140人。为确保粮食安全和重要农副产品有限供给，全面推进乡村振兴提供坚实有力的人才支撑。</w:t>
      </w:r>
      <w:bookmarkEnd w:id="0"/>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sz w:val="32"/>
          <w:szCs w:val="32"/>
          <w:highlight w:val="none"/>
          <w:lang w:val="en-US" w:eastAsia="zh-CN"/>
        </w:rPr>
        <w:t>2026年喀喇沁旗</w:t>
      </w:r>
      <w:r>
        <w:rPr>
          <w:rFonts w:hint="eastAsia" w:ascii="楷体_GB2312" w:hAnsi="楷体_GB2312" w:eastAsia="楷体_GB2312" w:cs="楷体_GB2312"/>
          <w:color w:val="000000"/>
          <w:sz w:val="32"/>
          <w:szCs w:val="32"/>
          <w:highlight w:val="none"/>
          <w:lang w:val="en-US" w:eastAsia="zh-CN"/>
        </w:rPr>
        <w:t>聚焦粮油和重要农畜产品稳产保供开展培育行动。</w:t>
      </w:r>
      <w:r>
        <w:rPr>
          <w:rFonts w:hint="eastAsia" w:ascii="仿宋_GB2312" w:hAnsi="仿宋_GB2312" w:eastAsia="仿宋_GB2312" w:cs="仿宋_GB2312"/>
          <w:b/>
          <w:bCs/>
          <w:color w:val="000000"/>
          <w:sz w:val="32"/>
          <w:szCs w:val="32"/>
          <w:highlight w:val="none"/>
          <w:lang w:val="en-US" w:eastAsia="zh-CN"/>
        </w:rPr>
        <w:t>一是</w:t>
      </w:r>
      <w:r>
        <w:rPr>
          <w:rFonts w:hint="eastAsia" w:ascii="仿宋_GB2312" w:hAnsi="仿宋_GB2312" w:eastAsia="仿宋_GB2312" w:cs="仿宋_GB2312"/>
          <w:color w:val="000000"/>
          <w:sz w:val="32"/>
          <w:szCs w:val="32"/>
          <w:highlight w:val="none"/>
          <w:lang w:val="en-US" w:eastAsia="zh-CN"/>
        </w:rPr>
        <w:t>围绕保障国家粮食安全，以粮油领域新品种、新技术、新装备应用等为主要内容，组织开展粮油产能提升主体培育，举办1期粮油作物大面积单产提升专题培训班。</w:t>
      </w:r>
      <w:r>
        <w:rPr>
          <w:rFonts w:hint="eastAsia" w:ascii="仿宋_GB2312" w:hAnsi="仿宋_GB2312" w:eastAsia="仿宋_GB2312" w:cs="仿宋_GB2312"/>
          <w:b/>
          <w:bCs/>
          <w:color w:val="000000"/>
          <w:sz w:val="32"/>
          <w:szCs w:val="32"/>
          <w:highlight w:val="none"/>
          <w:lang w:val="en-US" w:eastAsia="zh-CN"/>
        </w:rPr>
        <w:t>二是</w:t>
      </w:r>
      <w:r>
        <w:rPr>
          <w:rFonts w:hint="eastAsia" w:ascii="仿宋_GB2312" w:hAnsi="仿宋_GB2312" w:eastAsia="仿宋_GB2312" w:cs="仿宋_GB2312"/>
          <w:color w:val="000000"/>
          <w:sz w:val="32"/>
          <w:szCs w:val="32"/>
          <w:highlight w:val="none"/>
          <w:lang w:val="en-US" w:eastAsia="zh-CN"/>
        </w:rPr>
        <w:t>围绕喀喇沁旗重点产业发展，以设施农业生产和绿色发展等知识技能为主要内容开展1期技术技能培训班。适时做好农业防灾减灾救灾技术措施及相关设施装备应用培训。</w:t>
      </w:r>
    </w:p>
    <w:p>
      <w:pPr>
        <w:pageBreakBefore w:val="0"/>
        <w:widowControl w:val="0"/>
        <w:numPr>
          <w:ilvl w:val="0"/>
          <w:numId w:val="0"/>
        </w:numPr>
        <w:kinsoku/>
        <w:wordWrap/>
        <w:overflowPunct/>
        <w:topLinePunct w:val="0"/>
        <w:autoSpaceDE/>
        <w:autoSpaceDN/>
        <w:bidi w:val="0"/>
        <w:adjustRightInd/>
        <w:snapToGrid/>
        <w:spacing w:before="1" w:line="240" w:lineRule="auto"/>
        <w:ind w:firstLine="810" w:firstLineChars="300"/>
        <w:textAlignment w:val="auto"/>
        <w:rPr>
          <w:rFonts w:hint="eastAsia"/>
          <w:lang w:val="en-US" w:eastAsia="zh-CN"/>
        </w:rPr>
      </w:pPr>
      <w:r>
        <w:rPr>
          <w:rFonts w:hint="eastAsia" w:ascii="黑体" w:hAnsi="黑体" w:eastAsia="黑体" w:cs="黑体"/>
          <w:spacing w:val="-20"/>
          <w:sz w:val="31"/>
          <w:szCs w:val="31"/>
          <w:highlight w:val="none"/>
          <w:lang w:val="en-US" w:eastAsia="zh-CN"/>
        </w:rPr>
        <w:t>三、实施内容</w:t>
      </w:r>
    </w:p>
    <w:p>
      <w:pPr>
        <w:pageBreakBefore w:val="0"/>
        <w:widowControl w:val="0"/>
        <w:numPr>
          <w:ilvl w:val="0"/>
          <w:numId w:val="0"/>
        </w:numPr>
        <w:kinsoku/>
        <w:wordWrap/>
        <w:overflowPunct/>
        <w:topLinePunct w:val="0"/>
        <w:autoSpaceDE/>
        <w:autoSpaceDN/>
        <w:bidi w:val="0"/>
        <w:adjustRightInd/>
        <w:snapToGrid/>
        <w:spacing w:before="1" w:line="240" w:lineRule="auto"/>
        <w:ind w:firstLine="810" w:firstLineChars="300"/>
        <w:textAlignment w:val="auto"/>
        <w:rPr>
          <w:rFonts w:hint="eastAsia"/>
          <w:lang w:val="en-US" w:eastAsia="zh-CN"/>
        </w:rPr>
      </w:pPr>
      <w:r>
        <w:rPr>
          <w:rFonts w:hint="eastAsia" w:ascii="黑体" w:hAnsi="黑体" w:eastAsia="黑体" w:cs="黑体"/>
          <w:spacing w:val="-20"/>
          <w:sz w:val="31"/>
          <w:szCs w:val="31"/>
          <w:highlight w:val="none"/>
          <w:lang w:val="en-US" w:eastAsia="zh-CN"/>
        </w:rPr>
        <w:t>（一）</w:t>
      </w:r>
      <w:r>
        <w:rPr>
          <w:rFonts w:hint="eastAsia" w:ascii="楷体" w:hAnsi="楷体" w:eastAsia="楷体" w:cs="楷体"/>
          <w:sz w:val="32"/>
          <w:szCs w:val="32"/>
        </w:rPr>
        <w:t>认定培育机构。</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年高素质农牧民培育工作由喀喇沁旗农牧局组织实施，喀喇沁旗</w:t>
      </w:r>
      <w:r>
        <w:rPr>
          <w:rFonts w:hint="eastAsia" w:ascii="仿宋_GB2312" w:hAnsi="仿宋_GB2312" w:eastAsia="仿宋_GB2312" w:cs="仿宋_GB2312"/>
          <w:sz w:val="32"/>
          <w:szCs w:val="32"/>
          <w:lang w:val="en-US" w:eastAsia="zh-CN"/>
        </w:rPr>
        <w:t>农牧技术推广中心承担农牧业科技教育培训站（农广校）具体实施</w:t>
      </w:r>
      <w:r>
        <w:rPr>
          <w:rFonts w:hint="eastAsia" w:ascii="仿宋_GB2312" w:hAnsi="仿宋_GB2312" w:eastAsia="仿宋_GB2312" w:cs="仿宋_GB2312"/>
          <w:sz w:val="32"/>
          <w:szCs w:val="32"/>
        </w:rPr>
        <w:t>，承担具体培育工作，开展摸底调查、培训组织、跟踪服务等培育全部工作。</w:t>
      </w:r>
    </w:p>
    <w:p>
      <w:pPr>
        <w:numPr>
          <w:ilvl w:val="0"/>
          <w:numId w:val="0"/>
        </w:numPr>
        <w:spacing w:line="560" w:lineRule="exact"/>
        <w:ind w:firstLine="640" w:firstLineChars="200"/>
        <w:jc w:val="left"/>
        <w:rPr>
          <w:rFonts w:hint="default" w:ascii="仿宋_GB2312" w:hAnsi="仿宋_GB2312" w:eastAsia="仿宋_GB2312" w:cs="仿宋_GB2312"/>
          <w:sz w:val="32"/>
          <w:szCs w:val="32"/>
          <w:highlight w:val="none"/>
          <w:lang w:val="en-US"/>
        </w:rPr>
      </w:pPr>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lang w:val="en-US" w:eastAsia="zh-CN"/>
        </w:rPr>
        <w:t>二</w:t>
      </w:r>
      <w:r>
        <w:rPr>
          <w:rFonts w:hint="eastAsia" w:ascii="楷体" w:hAnsi="楷体" w:eastAsia="楷体" w:cs="楷体"/>
          <w:sz w:val="32"/>
          <w:szCs w:val="32"/>
          <w:highlight w:val="none"/>
          <w:lang w:eastAsia="zh-CN"/>
        </w:rPr>
        <w:t>）强化需求摸底。</w:t>
      </w:r>
      <w:r>
        <w:rPr>
          <w:rFonts w:hint="eastAsia" w:ascii="仿宋_GB2312" w:hAnsi="仿宋_GB2312" w:eastAsia="仿宋_GB2312" w:cs="仿宋_GB2312"/>
          <w:sz w:val="32"/>
          <w:szCs w:val="32"/>
          <w:highlight w:val="none"/>
        </w:rPr>
        <w:t>扎实开展需求摸排与政策宣介工作。</w:t>
      </w:r>
      <w:r>
        <w:rPr>
          <w:rFonts w:hint="eastAsia" w:ascii="仿宋_GB2312" w:hAnsi="仿宋_GB2312" w:eastAsia="仿宋_GB2312" w:cs="仿宋_GB2312"/>
          <w:sz w:val="32"/>
          <w:szCs w:val="32"/>
          <w:highlight w:val="none"/>
          <w:lang w:val="en-US" w:eastAsia="zh-CN"/>
        </w:rPr>
        <w:t>利用</w:t>
      </w:r>
      <w:r>
        <w:rPr>
          <w:rFonts w:hint="eastAsia" w:ascii="仿宋_GB2312" w:hAnsi="仿宋_GB2312" w:eastAsia="仿宋_GB2312" w:cs="仿宋_GB2312"/>
          <w:sz w:val="32"/>
          <w:szCs w:val="32"/>
          <w:highlight w:val="none"/>
        </w:rPr>
        <w:t>网络新媒体与政务公共服务平台等资源，多渠道推送培育政策，在全旗</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个乡镇开展全覆盖调研，重点遴选16周岁以上、具备较强生产技能与学习能力、产业规模稳定、经营效益良好，且示范带动作用突出的种养大户、家庭农牧场、农牧民合作社、农牧业企业负责人及返乡涉农创业带头人等新型经营主体带头人作为核心培育对象。调研期间同步向乡镇重点村发放针对性调查问卷，精准掌握农牧民培训需求，为培育工作靶向开展奠定坚实基础。</w:t>
      </w:r>
    </w:p>
    <w:p>
      <w:pPr>
        <w:numPr>
          <w:ilvl w:val="0"/>
          <w:numId w:val="0"/>
        </w:numPr>
        <w:spacing w:line="560" w:lineRule="exact"/>
        <w:ind w:firstLine="320" w:firstLineChars="100"/>
        <w:jc w:val="left"/>
        <w:rPr>
          <w:rFonts w:hint="default" w:ascii="仿宋_GB2312" w:hAnsi="仿宋_GB2312" w:eastAsia="仿宋_GB2312" w:cs="仿宋_GB2312"/>
          <w:sz w:val="32"/>
          <w:szCs w:val="32"/>
          <w:highlight w:val="none"/>
          <w:lang w:val="en-US"/>
        </w:rPr>
      </w:pPr>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lang w:val="en-US" w:eastAsia="zh-CN"/>
        </w:rPr>
        <w:t>三）</w:t>
      </w:r>
      <w:r>
        <w:rPr>
          <w:rFonts w:hint="eastAsia" w:ascii="楷体" w:hAnsi="楷体" w:eastAsia="楷体" w:cs="楷体"/>
          <w:sz w:val="32"/>
          <w:szCs w:val="32"/>
          <w:highlight w:val="none"/>
        </w:rPr>
        <w:t>规范实施培训。</w:t>
      </w:r>
      <w:r>
        <w:rPr>
          <w:rFonts w:hint="eastAsia" w:ascii="仿宋_GB2312" w:hAnsi="仿宋_GB2312" w:eastAsia="仿宋_GB2312" w:cs="仿宋_GB2312"/>
          <w:color w:val="000000"/>
          <w:sz w:val="32"/>
          <w:szCs w:val="32"/>
          <w:highlight w:val="none"/>
          <w:lang w:val="en-US" w:eastAsia="zh-CN"/>
        </w:rPr>
        <w:t>严格落实《高素质农民培育规范》具体要求，不断提升培育针对性、规范性、有效性，切实保障培育质量。</w:t>
      </w:r>
      <w:r>
        <w:rPr>
          <w:rFonts w:hint="eastAsia" w:ascii="仿宋_GB2312" w:hAnsi="仿宋_GB2312" w:eastAsia="仿宋_GB2312" w:cs="仿宋_GB2312"/>
          <w:b/>
          <w:bCs/>
          <w:color w:val="000000"/>
          <w:sz w:val="32"/>
          <w:szCs w:val="32"/>
          <w:highlight w:val="none"/>
          <w:lang w:val="en-US" w:eastAsia="zh-CN"/>
        </w:rPr>
        <w:t>在培训数量上，</w:t>
      </w:r>
      <w:r>
        <w:rPr>
          <w:rFonts w:hint="eastAsia" w:ascii="仿宋_GB2312" w:hAnsi="仿宋_GB2312" w:eastAsia="仿宋_GB2312" w:cs="仿宋_GB2312"/>
          <w:color w:val="000000"/>
          <w:sz w:val="32"/>
          <w:szCs w:val="32"/>
          <w:highlight w:val="none"/>
          <w:lang w:val="en-US" w:eastAsia="zh-CN"/>
        </w:rPr>
        <w:t>原则上每个培训班人数不超过70人，以实践教学为主的，每班不超过50人。</w:t>
      </w:r>
      <w:r>
        <w:rPr>
          <w:rFonts w:hint="eastAsia" w:ascii="仿宋_GB2312" w:hAnsi="仿宋_GB2312" w:eastAsia="仿宋_GB2312" w:cs="仿宋_GB2312"/>
          <w:b/>
          <w:bCs/>
          <w:color w:val="000000"/>
          <w:sz w:val="32"/>
          <w:szCs w:val="32"/>
          <w:highlight w:val="none"/>
          <w:lang w:val="en-US" w:eastAsia="zh-CN"/>
        </w:rPr>
        <w:t>在培训学时上，</w:t>
      </w:r>
      <w:r>
        <w:rPr>
          <w:rFonts w:hint="eastAsia" w:ascii="仿宋_GB2312" w:hAnsi="仿宋_GB2312" w:eastAsia="仿宋_GB2312" w:cs="仿宋_GB2312"/>
          <w:color w:val="000000"/>
          <w:sz w:val="32"/>
          <w:szCs w:val="32"/>
          <w:highlight w:val="none"/>
          <w:lang w:val="en-US" w:eastAsia="zh-CN"/>
        </w:rPr>
        <w:t>培训班不少于40学时（不包含报到、返程时间），每天不超过8学时。</w:t>
      </w:r>
      <w:r>
        <w:rPr>
          <w:rFonts w:hint="eastAsia" w:ascii="仿宋_GB2312" w:hAnsi="仿宋_GB2312" w:eastAsia="仿宋_GB2312" w:cs="仿宋_GB2312"/>
          <w:b/>
          <w:bCs/>
          <w:color w:val="000000"/>
          <w:sz w:val="32"/>
          <w:szCs w:val="32"/>
          <w:highlight w:val="none"/>
          <w:lang w:val="en-US" w:eastAsia="zh-CN"/>
        </w:rPr>
        <w:t>在课程设置上，</w:t>
      </w:r>
      <w:r>
        <w:rPr>
          <w:rFonts w:hint="eastAsia" w:ascii="仿宋_GB2312" w:hAnsi="仿宋_GB2312" w:eastAsia="仿宋_GB2312" w:cs="仿宋_GB2312"/>
          <w:color w:val="000000"/>
          <w:sz w:val="32"/>
          <w:szCs w:val="32"/>
          <w:highlight w:val="none"/>
          <w:lang w:val="en-US" w:eastAsia="zh-CN"/>
        </w:rPr>
        <w:t>综合素养课（含开班第一课）学时数不低于总学时数的10%。专业技能课学时数应不低于总学时数的70%，其中，采取实践教学的比例不低于专业技能课学时数的50%。喀喇沁旗根据实际制定2026年度工作方案和开班计划，报市农牧局审核备案；培育开班计划要于开班前20天报市农牧局初审，初审合格后上传至农民教育培训信息管理系统自治区农牧厅复审，复审合格后方可开班。</w:t>
      </w:r>
    </w:p>
    <w:p>
      <w:pPr>
        <w:pageBreakBefore w:val="0"/>
        <w:widowControl w:val="0"/>
        <w:kinsoku/>
        <w:wordWrap/>
        <w:overflowPunct/>
        <w:topLinePunct w:val="0"/>
        <w:autoSpaceDE/>
        <w:autoSpaceDN/>
        <w:bidi w:val="0"/>
        <w:adjustRightInd/>
        <w:snapToGrid/>
        <w:spacing w:line="240" w:lineRule="auto"/>
        <w:ind w:firstLine="320" w:firstLineChars="100"/>
        <w:textAlignment w:val="auto"/>
        <w:rPr>
          <w:rFonts w:hint="eastAsia" w:ascii="仿宋_GB2312" w:hAnsi="仿宋_GB2312" w:eastAsia="仿宋_GB2312" w:cs="仿宋_GB2312"/>
          <w:sz w:val="32"/>
          <w:szCs w:val="32"/>
          <w:highlight w:val="none"/>
        </w:rPr>
      </w:pPr>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lang w:val="en-US" w:eastAsia="zh-CN"/>
        </w:rPr>
        <w:t>四</w:t>
      </w:r>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rPr>
        <w:t>优化培训模式。</w:t>
      </w:r>
      <w:r>
        <w:rPr>
          <w:rFonts w:hint="eastAsia" w:ascii="仿宋_GB2312" w:hAnsi="仿宋_GB2312" w:eastAsia="仿宋_GB2312" w:cs="仿宋_GB2312"/>
          <w:sz w:val="32"/>
          <w:szCs w:val="32"/>
          <w:highlight w:val="none"/>
        </w:rPr>
        <w:t>根据农牧民意愿和特点，结合实际情况，合理选择集中</w:t>
      </w:r>
      <w:r>
        <w:rPr>
          <w:rFonts w:hint="eastAsia" w:ascii="仿宋_GB2312" w:hAnsi="仿宋_GB2312" w:eastAsia="仿宋_GB2312" w:cs="仿宋_GB2312"/>
          <w:sz w:val="32"/>
          <w:szCs w:val="32"/>
          <w:highlight w:val="none"/>
          <w:lang w:val="en-US" w:eastAsia="zh-CN"/>
        </w:rPr>
        <w:t>培训</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实地观摩相结合的方式，</w:t>
      </w:r>
      <w:r>
        <w:rPr>
          <w:rFonts w:hint="eastAsia" w:ascii="仿宋_GB2312" w:hAnsi="仿宋_GB2312" w:eastAsia="仿宋_GB2312" w:cs="仿宋_GB2312"/>
          <w:sz w:val="32"/>
          <w:szCs w:val="32"/>
          <w:highlight w:val="none"/>
        </w:rPr>
        <w:t>开展培育，选好教师、用好实训基地，强化技能训练、训后指导和跟踪服务。一是实行“行政主管部门第一课”制度。</w:t>
      </w:r>
      <w:r>
        <w:rPr>
          <w:rFonts w:hint="eastAsia" w:ascii="仿宋_GB2312" w:hAnsi="仿宋_GB2312" w:eastAsia="仿宋_GB2312" w:cs="仿宋_GB2312"/>
          <w:sz w:val="32"/>
          <w:szCs w:val="32"/>
          <w:highlight w:val="none"/>
          <w:lang w:val="en-US" w:eastAsia="zh-CN"/>
        </w:rPr>
        <w:t>包括宣讲中央一号文件和政策法规等内容。</w:t>
      </w:r>
      <w:r>
        <w:rPr>
          <w:rFonts w:hint="eastAsia" w:ascii="仿宋_GB2312" w:hAnsi="仿宋_GB2312" w:eastAsia="仿宋_GB2312" w:cs="仿宋_GB2312"/>
          <w:sz w:val="32"/>
          <w:szCs w:val="32"/>
          <w:highlight w:val="none"/>
        </w:rPr>
        <w:t>二是强化精准培训。根据培育对象和培训方向的需要，科学制定差异化的培训计划，推行“订单式”“菜单式”培训模式，优选授课教师和精品教材，采用课堂教学、实践</w:t>
      </w:r>
      <w:r>
        <w:rPr>
          <w:rFonts w:hint="eastAsia" w:ascii="仿宋_GB2312" w:hAnsi="仿宋_GB2312" w:eastAsia="仿宋_GB2312" w:cs="仿宋_GB2312"/>
          <w:sz w:val="32"/>
          <w:szCs w:val="32"/>
          <w:highlight w:val="none"/>
          <w:lang w:val="en-US" w:eastAsia="zh-CN"/>
        </w:rPr>
        <w:t>观摩</w:t>
      </w:r>
      <w:r>
        <w:rPr>
          <w:rFonts w:hint="eastAsia" w:ascii="仿宋_GB2312" w:hAnsi="仿宋_GB2312" w:eastAsia="仿宋_GB2312" w:cs="仿宋_GB2312"/>
          <w:sz w:val="32"/>
          <w:szCs w:val="32"/>
          <w:highlight w:val="none"/>
        </w:rPr>
        <w:t>、跟踪辅导等形式，切实提高培训精准度。三是强化实操演练。依托各类资源和市场主体，维护和用好实训基地、创业孵化基地和农牧民田间学校等各类培训基地，培养用好农牧民讲师，提高实践实操比重，提升培训质量，增强培育能力。</w:t>
      </w:r>
      <w:r>
        <w:rPr>
          <w:rFonts w:hint="eastAsia" w:ascii="仿宋_GB2312" w:hAnsi="仿宋_GB2312" w:eastAsia="仿宋_GB2312" w:cs="仿宋_GB2312"/>
          <w:sz w:val="32"/>
          <w:szCs w:val="32"/>
          <w:highlight w:val="none"/>
          <w:lang w:val="en-US" w:eastAsia="zh-CN"/>
        </w:rPr>
        <w:t>四</w:t>
      </w:r>
      <w:r>
        <w:rPr>
          <w:rFonts w:hint="eastAsia" w:ascii="仿宋_GB2312" w:hAnsi="仿宋_GB2312" w:eastAsia="仿宋_GB2312" w:cs="仿宋_GB2312"/>
          <w:sz w:val="32"/>
          <w:szCs w:val="32"/>
          <w:highlight w:val="none"/>
        </w:rPr>
        <w:t>是统筹优质培训资源。用好区域内优质教育培训资源，提倡学优学先，</w:t>
      </w:r>
      <w:r>
        <w:rPr>
          <w:rFonts w:hint="eastAsia" w:ascii="仿宋_GB2312" w:hAnsi="仿宋_GB2312" w:eastAsia="仿宋_GB2312" w:cs="仿宋_GB2312"/>
          <w:sz w:val="32"/>
          <w:szCs w:val="32"/>
          <w:highlight w:val="none"/>
          <w:lang w:val="en-US" w:eastAsia="zh-CN"/>
        </w:rPr>
        <w:t>坚持“请进来、走出去”的方式</w:t>
      </w:r>
      <w:r>
        <w:rPr>
          <w:rFonts w:hint="eastAsia" w:ascii="仿宋_GB2312" w:hAnsi="仿宋_GB2312" w:eastAsia="仿宋_GB2312" w:cs="仿宋_GB2312"/>
          <w:sz w:val="32"/>
          <w:szCs w:val="32"/>
          <w:highlight w:val="none"/>
        </w:rPr>
        <w:t>开展跨地域学习交流。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lang w:val="en-US" w:eastAsia="zh-CN"/>
        </w:rPr>
        <w:t>五</w:t>
      </w:r>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rPr>
        <w:t>提升培训质量</w:t>
      </w:r>
      <w:r>
        <w:rPr>
          <w:rFonts w:hint="eastAsia" w:ascii="仿宋" w:hAnsi="仿宋" w:eastAsia="仿宋" w:cs="仿宋_GB2312"/>
          <w:sz w:val="32"/>
          <w:szCs w:val="32"/>
          <w:highlight w:val="none"/>
          <w:lang w:eastAsia="zh-CN"/>
        </w:rPr>
        <w:t>。</w:t>
      </w:r>
      <w:r>
        <w:rPr>
          <w:rFonts w:hint="eastAsia" w:ascii="仿宋_GB2312" w:hAnsi="仿宋_GB2312" w:eastAsia="仿宋_GB2312" w:cs="仿宋_GB2312"/>
          <w:sz w:val="32"/>
          <w:szCs w:val="32"/>
          <w:highlight w:val="none"/>
        </w:rPr>
        <w:t>严格遵循农业农村部《高素质农民培育规范》，突出专业生产型目标导向，充分尊重农牧民意愿和产业发展特色，加强</w:t>
      </w:r>
      <w:r>
        <w:rPr>
          <w:rFonts w:hint="eastAsia" w:ascii="仿宋_GB2312" w:hAnsi="仿宋_GB2312" w:eastAsia="仿宋_GB2312" w:cs="仿宋_GB2312"/>
          <w:sz w:val="32"/>
          <w:szCs w:val="32"/>
          <w:highlight w:val="none"/>
          <w:lang w:val="en-US" w:eastAsia="zh-CN"/>
        </w:rPr>
        <w:t>我旗</w:t>
      </w:r>
      <w:r>
        <w:rPr>
          <w:rFonts w:hint="eastAsia" w:ascii="仿宋_GB2312" w:hAnsi="仿宋_GB2312" w:eastAsia="仿宋_GB2312" w:cs="仿宋_GB2312"/>
          <w:sz w:val="32"/>
          <w:szCs w:val="32"/>
          <w:highlight w:val="none"/>
        </w:rPr>
        <w:t>高素质农牧民培育工作统筹谋划，精准开展需求摸底，科学制定培训方案，精心设计课程安排，优选师资、教材、基地，建立完善学员档案，及时完整录入"农民教育培训信息管理系统"相关内容，提高参训农牧民满度。一是加强师资队伍建设。</w:t>
      </w:r>
      <w:r>
        <w:rPr>
          <w:rFonts w:hint="eastAsia" w:ascii="仿宋_GB2312" w:hAnsi="仿宋_GB2312" w:eastAsia="仿宋_GB2312" w:cs="仿宋_GB2312"/>
          <w:sz w:val="32"/>
          <w:szCs w:val="32"/>
          <w:highlight w:val="none"/>
          <w:lang w:val="en-US" w:eastAsia="zh-CN"/>
        </w:rPr>
        <w:t>将现代农业产业</w:t>
      </w:r>
      <w:r>
        <w:rPr>
          <w:rFonts w:hint="eastAsia" w:ascii="仿宋_GB2312" w:hAnsi="仿宋_GB2312" w:eastAsia="仿宋_GB2312" w:cs="仿宋_GB2312"/>
          <w:sz w:val="32"/>
          <w:szCs w:val="32"/>
          <w:highlight w:val="none"/>
        </w:rPr>
        <w:t>技术体系专家、农技推广人员、农牧业生产主体及涉农涉牧经营服务主体专业人员纳入师资队伍，打造一支由农技推广骨干以及“田秀才”“土专家”组成的名师队伍。二是加强培训（实训）基地建设。继续遴选一批示范带动能力强的实训实践基地</w:t>
      </w:r>
      <w:r>
        <w:rPr>
          <w:rFonts w:hint="eastAsia" w:ascii="仿宋_GB2312" w:hAnsi="仿宋_GB2312" w:eastAsia="仿宋_GB2312" w:cs="仿宋_GB2312"/>
          <w:sz w:val="32"/>
          <w:szCs w:val="32"/>
          <w:highlight w:val="none"/>
          <w:lang w:val="en-US" w:eastAsia="zh-CN"/>
        </w:rPr>
        <w:t>入库</w:t>
      </w:r>
      <w:r>
        <w:rPr>
          <w:rFonts w:hint="eastAsia" w:ascii="仿宋_GB2312" w:hAnsi="仿宋_GB2312" w:eastAsia="仿宋_GB2312" w:cs="仿宋_GB2312"/>
          <w:sz w:val="32"/>
          <w:szCs w:val="32"/>
          <w:highlight w:val="none"/>
        </w:rPr>
        <w:t>，把技术培训与生产周期紧密结合起来，促进学以致用、教学相长。三是规范教材使用和管理。</w:t>
      </w:r>
      <w:r>
        <w:rPr>
          <w:rFonts w:hint="eastAsia" w:ascii="仿宋_GB2312" w:hAnsi="仿宋_GB2312" w:eastAsia="仿宋_GB2312" w:cs="仿宋_GB2312"/>
          <w:color w:val="000000"/>
          <w:sz w:val="32"/>
          <w:szCs w:val="32"/>
          <w:highlight w:val="none"/>
          <w:lang w:val="en-US" w:eastAsia="zh-CN"/>
        </w:rPr>
        <w:t>培育教材包括正式出版物和各级农牧部门组织编制培育手册，要严把教材质量关，经本级主管部门审核，选用规范、先进、实用的培育教材。</w:t>
      </w:r>
      <w:r>
        <w:rPr>
          <w:rFonts w:hint="eastAsia" w:ascii="仿宋_GB2312" w:hAnsi="仿宋_GB2312" w:eastAsia="仿宋_GB2312" w:cs="仿宋_GB2312"/>
          <w:sz w:val="32"/>
          <w:szCs w:val="32"/>
          <w:highlight w:val="none"/>
        </w:rPr>
        <w:t>同时结合当地农业主导产业，开发针对性强、质量高的培训教材，不断充实完善教材库。四是及时考核评价和颁证。</w:t>
      </w:r>
      <w:r>
        <w:rPr>
          <w:rFonts w:hint="eastAsia" w:ascii="仿宋_GB2312" w:hAnsi="仿宋_GB2312" w:eastAsia="仿宋_GB2312" w:cs="仿宋_GB2312"/>
          <w:sz w:val="32"/>
          <w:szCs w:val="32"/>
          <w:highlight w:val="none"/>
          <w:lang w:val="en-US" w:eastAsia="zh-CN"/>
        </w:rPr>
        <w:t>农广校</w:t>
      </w:r>
      <w:r>
        <w:rPr>
          <w:rFonts w:hint="eastAsia" w:ascii="仿宋_GB2312" w:hAnsi="仿宋_GB2312" w:eastAsia="仿宋_GB2312" w:cs="仿宋_GB2312"/>
          <w:sz w:val="32"/>
          <w:szCs w:val="32"/>
          <w:highlight w:val="none"/>
        </w:rPr>
        <w:t>通过过程性评价、结果性考核和实践技能考评相结合方式，综合评价学员学习成果，对合格者颁发培训证书。培训证书反映培训班次、培训时间、培训内容、学时数等培训信息。</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highlight w:val="none"/>
        </w:rPr>
      </w:pPr>
      <w:r>
        <w:rPr>
          <w:rFonts w:hint="eastAsia" w:ascii="楷体" w:hAnsi="楷体" w:eastAsia="楷体" w:cs="楷体"/>
          <w:sz w:val="32"/>
          <w:szCs w:val="32"/>
          <w:highlight w:val="none"/>
        </w:rPr>
        <w:t>（</w:t>
      </w:r>
      <w:r>
        <w:rPr>
          <w:rFonts w:hint="eastAsia" w:ascii="楷体" w:hAnsi="楷体" w:eastAsia="楷体" w:cs="楷体"/>
          <w:sz w:val="32"/>
          <w:szCs w:val="32"/>
          <w:highlight w:val="none"/>
          <w:lang w:val="en-US" w:eastAsia="zh-CN"/>
        </w:rPr>
        <w:t>六</w:t>
      </w:r>
      <w:r>
        <w:rPr>
          <w:rFonts w:hint="eastAsia" w:ascii="楷体" w:hAnsi="楷体" w:eastAsia="楷体" w:cs="楷体"/>
          <w:sz w:val="32"/>
          <w:szCs w:val="32"/>
          <w:highlight w:val="none"/>
        </w:rPr>
        <w:t>）做好跟踪服务。</w:t>
      </w:r>
      <w:r>
        <w:rPr>
          <w:rFonts w:hint="eastAsia" w:ascii="仿宋_GB2312" w:hAnsi="仿宋_GB2312" w:eastAsia="仿宋_GB2312" w:cs="仿宋_GB2312"/>
          <w:color w:val="000000"/>
          <w:sz w:val="32"/>
          <w:szCs w:val="32"/>
          <w:highlight w:val="none"/>
          <w:lang w:val="en-US" w:eastAsia="zh-CN"/>
        </w:rPr>
        <w:t>在课堂教学、实践教学、交流观摩全部完成后要对学员开展跟踪服务，时长不超过1年，次数不少于2次。跟踪服务人数不少于培训班总人数的30%。</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组织协调农牧系统</w:t>
      </w:r>
      <w:r>
        <w:rPr>
          <w:rFonts w:hint="eastAsia" w:ascii="仿宋_GB2312" w:hAnsi="仿宋_GB2312" w:eastAsia="仿宋_GB2312" w:cs="仿宋_GB2312"/>
          <w:sz w:val="32"/>
          <w:szCs w:val="32"/>
          <w:highlight w:val="none"/>
          <w:lang w:val="en-US" w:eastAsia="zh-CN"/>
        </w:rPr>
        <w:t>内</w:t>
      </w:r>
      <w:r>
        <w:rPr>
          <w:rFonts w:hint="eastAsia" w:ascii="仿宋_GB2312" w:hAnsi="仿宋_GB2312" w:eastAsia="仿宋_GB2312" w:cs="仿宋_GB2312"/>
          <w:sz w:val="32"/>
          <w:szCs w:val="32"/>
          <w:highlight w:val="none"/>
        </w:rPr>
        <w:t>相关管理和技术力量，依托现代农牧业产业技术体系、农技推广体系等专业队伍，为技术技能提升类培育对象提供长期技术指导服务，帮助产业发展带头人获取基础设施建设、产业项目、信贷保险等方面支持。创造机会条件，支持高素质农牧民参加论坛、展会、技能比赛和农畜产品交易活动等，</w:t>
      </w:r>
      <w:r>
        <w:rPr>
          <w:rFonts w:hint="eastAsia" w:ascii="仿宋_GB2312" w:hAnsi="仿宋_GB2312" w:eastAsia="仿宋_GB2312" w:cs="仿宋_GB2312"/>
          <w:sz w:val="32"/>
          <w:szCs w:val="32"/>
          <w:highlight w:val="none"/>
          <w:lang w:val="en-US" w:eastAsia="zh-CN"/>
        </w:rPr>
        <w:t>优先推荐高素质农民参加“头雁”以及实用人才培养，</w:t>
      </w:r>
      <w:r>
        <w:rPr>
          <w:rFonts w:hint="eastAsia" w:ascii="仿宋_GB2312" w:hAnsi="仿宋_GB2312" w:eastAsia="仿宋_GB2312" w:cs="仿宋_GB2312"/>
          <w:sz w:val="32"/>
          <w:szCs w:val="32"/>
          <w:highlight w:val="none"/>
        </w:rPr>
        <w:t>支持高素质农牧民领办创办产业联合体抱团发展。</w:t>
      </w:r>
    </w:p>
    <w:p>
      <w:pPr>
        <w:pageBreakBefore w:val="0"/>
        <w:widowControl w:val="0"/>
        <w:numPr>
          <w:ilvl w:val="0"/>
          <w:numId w:val="0"/>
        </w:numPr>
        <w:kinsoku/>
        <w:wordWrap/>
        <w:overflowPunct/>
        <w:topLinePunct w:val="0"/>
        <w:autoSpaceDE/>
        <w:autoSpaceDN/>
        <w:bidi w:val="0"/>
        <w:adjustRightInd/>
        <w:snapToGrid/>
        <w:spacing w:line="240" w:lineRule="auto"/>
        <w:ind w:firstLine="320" w:firstLineChars="100"/>
        <w:textAlignment w:val="auto"/>
        <w:rPr>
          <w:rFonts w:hint="eastAsia" w:ascii="仿宋_GB2312" w:hAnsi="仿宋_GB2312" w:eastAsia="仿宋_GB2312" w:cs="仿宋_GB2312"/>
          <w:color w:val="000000"/>
          <w:sz w:val="32"/>
          <w:szCs w:val="32"/>
          <w:highlight w:val="none"/>
          <w:lang w:val="en-US" w:eastAsia="zh-CN"/>
        </w:rPr>
      </w:pPr>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lang w:val="en-US" w:eastAsia="zh-CN"/>
        </w:rPr>
        <w:t>七）</w:t>
      </w:r>
      <w:r>
        <w:rPr>
          <w:rFonts w:hint="eastAsia" w:ascii="楷体" w:hAnsi="楷体" w:eastAsia="楷体" w:cs="楷体"/>
          <w:sz w:val="32"/>
          <w:szCs w:val="32"/>
          <w:highlight w:val="none"/>
        </w:rPr>
        <w:t>强化</w:t>
      </w:r>
      <w:r>
        <w:rPr>
          <w:rFonts w:hint="eastAsia" w:ascii="楷体" w:hAnsi="楷体" w:eastAsia="楷体" w:cs="楷体"/>
          <w:sz w:val="32"/>
          <w:szCs w:val="32"/>
          <w:highlight w:val="none"/>
          <w:lang w:val="en-US" w:eastAsia="zh-CN"/>
        </w:rPr>
        <w:t>档案管理</w:t>
      </w:r>
      <w:r>
        <w:rPr>
          <w:rFonts w:hint="eastAsia" w:ascii="楷体" w:hAnsi="楷体" w:eastAsia="楷体" w:cs="楷体"/>
          <w:sz w:val="32"/>
          <w:szCs w:val="32"/>
          <w:highlight w:val="none"/>
        </w:rPr>
        <w:t>。</w:t>
      </w:r>
      <w:r>
        <w:rPr>
          <w:rFonts w:hint="eastAsia" w:ascii="仿宋_GB2312" w:hAnsi="仿宋_GB2312" w:eastAsia="仿宋_GB2312" w:cs="仿宋_GB2312"/>
          <w:b w:val="0"/>
          <w:bCs w:val="0"/>
          <w:color w:val="000000"/>
          <w:sz w:val="32"/>
          <w:szCs w:val="32"/>
          <w:highlight w:val="none"/>
          <w:lang w:val="en-US" w:eastAsia="zh-CN"/>
        </w:rPr>
        <w:t>在档案管理上</w:t>
      </w:r>
      <w:r>
        <w:rPr>
          <w:rFonts w:hint="eastAsia" w:ascii="仿宋_GB2312" w:hAnsi="仿宋_GB2312" w:eastAsia="仿宋_GB2312" w:cs="仿宋_GB2312"/>
          <w:b/>
          <w:bCs/>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en-US" w:eastAsia="zh-CN"/>
        </w:rPr>
        <w:t>要建立培育档案，包括开班计划、培育对象信息、课程及考核结果记录、资金支出票据复印件、结业证书发放情况和其他必要培育信息。</w:t>
      </w:r>
    </w:p>
    <w:p>
      <w:pPr>
        <w:pageBreakBefore w:val="0"/>
        <w:widowControl w:val="0"/>
        <w:kinsoku/>
        <w:wordWrap/>
        <w:overflowPunct/>
        <w:topLinePunct w:val="0"/>
        <w:autoSpaceDE/>
        <w:autoSpaceDN/>
        <w:bidi w:val="0"/>
        <w:adjustRightInd/>
        <w:snapToGrid/>
        <w:spacing w:line="240" w:lineRule="auto"/>
        <w:textAlignment w:val="auto"/>
        <w:rPr>
          <w:rFonts w:hint="default" w:ascii="黑体" w:hAnsi="黑体" w:eastAsia="黑体" w:cs="黑体"/>
          <w:spacing w:val="-20"/>
          <w:sz w:val="31"/>
          <w:szCs w:val="31"/>
          <w:highlight w:val="none"/>
          <w:lang w:val="en-US" w:eastAsia="zh-CN"/>
        </w:rPr>
      </w:pPr>
      <w:r>
        <w:rPr>
          <w:rFonts w:hint="eastAsia" w:ascii="仿宋" w:hAnsi="仿宋" w:eastAsia="仿宋" w:cs="仿宋_GB2312"/>
          <w:sz w:val="32"/>
          <w:szCs w:val="32"/>
          <w:highlight w:val="none"/>
          <w:lang w:eastAsia="zh-CN"/>
        </w:rPr>
        <w:t>　</w:t>
      </w:r>
      <w:r>
        <w:rPr>
          <w:rFonts w:hint="eastAsia" w:ascii="黑体" w:hAnsi="黑体" w:eastAsia="黑体" w:cs="黑体"/>
          <w:spacing w:val="-20"/>
          <w:sz w:val="31"/>
          <w:szCs w:val="31"/>
          <w:highlight w:val="none"/>
          <w:lang w:val="en-US" w:eastAsia="zh-CN"/>
        </w:rPr>
        <w:t xml:space="preserve">　四、资金使用管理   </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黑体" w:hAnsi="黑体" w:eastAsia="黑体" w:cs="黑体"/>
          <w:spacing w:val="-20"/>
          <w:sz w:val="31"/>
          <w:szCs w:val="31"/>
          <w:highlight w:val="none"/>
          <w:lang w:val="en-US" w:eastAsia="zh-CN"/>
        </w:rPr>
      </w:pPr>
      <w:r>
        <w:rPr>
          <w:rFonts w:hint="eastAsia" w:ascii="仿宋_GB2312" w:hAnsi="仿宋_GB2312" w:eastAsia="仿宋_GB2312" w:cs="仿宋_GB2312"/>
          <w:sz w:val="32"/>
          <w:szCs w:val="32"/>
          <w:highlight w:val="none"/>
        </w:rPr>
        <w:t>强化项目管理，用好培育资金。严格按照《内蒙古自治区农牧厅关于 印发第二批涉农资金项目管理规程的通知》（内农牧计财发〔2026〕 234 号）等文件规定执行。</w:t>
      </w:r>
      <w:r>
        <w:rPr>
          <w:rFonts w:hint="eastAsia" w:ascii="仿宋_GB2312" w:hAnsi="仿宋_GB2312" w:eastAsia="仿宋_GB2312" w:cs="仿宋_GB2312"/>
          <w:sz w:val="32"/>
          <w:szCs w:val="32"/>
          <w:highlight w:val="none"/>
          <w:lang w:val="en-US" w:eastAsia="zh-CN"/>
        </w:rPr>
        <w:t>2026年喀喇沁旗项目资金55.4万元，培训任务140人。人均培训标准</w:t>
      </w:r>
      <w:r>
        <w:rPr>
          <w:rFonts w:hint="default" w:ascii="Arial" w:hAnsi="Arial" w:eastAsia="仿宋_GB2312" w:cs="Arial"/>
          <w:sz w:val="32"/>
          <w:szCs w:val="32"/>
          <w:highlight w:val="none"/>
          <w:lang w:val="en-US" w:eastAsia="zh-CN"/>
        </w:rPr>
        <w:t>≤</w:t>
      </w:r>
      <w:r>
        <w:rPr>
          <w:rFonts w:hint="eastAsia" w:ascii="仿宋_GB2312" w:hAnsi="仿宋_GB2312" w:eastAsia="仿宋_GB2312" w:cs="仿宋_GB2312"/>
          <w:sz w:val="32"/>
          <w:szCs w:val="32"/>
          <w:highlight w:val="none"/>
          <w:lang w:val="en-US" w:eastAsia="zh-CN"/>
        </w:rPr>
        <w:t>3957元。在完成2026年培训任务的基础上，如有剩余资金可以继续开展高素质农民相关的培训。项目</w:t>
      </w:r>
      <w:r>
        <w:rPr>
          <w:rFonts w:hint="eastAsia" w:ascii="仿宋_GB2312" w:hAnsi="仿宋_GB2312" w:eastAsia="仿宋_GB2312" w:cs="仿宋_GB2312"/>
          <w:sz w:val="32"/>
          <w:szCs w:val="32"/>
          <w:highlight w:val="none"/>
        </w:rPr>
        <w:t>资金主要用于支付需求调查、线上线下培训、实践实训、跟踪监测等与培育工作相关的费用，培育费用可采取预拨、部分预拨、报账等方式支付，预拨比例不超过50%。课堂教学日均费用一般不高于培训地干部培训标准</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实践教学和跟踪服务费用应按实际支出。原则上12月底前完成当年度项目实施和资金支出系统填报，强化资金拨付，培育任务结束后，当年资金兑付率须达到80%以上，跟踪服务费用不得超过培训总经费的20%。</w:t>
      </w:r>
      <w:r>
        <w:rPr>
          <w:rFonts w:hint="eastAsia" w:ascii="仿宋_GB2312" w:hAnsi="仿宋_GB2312" w:eastAsia="仿宋_GB2312" w:cs="仿宋_GB2312"/>
          <w:color w:val="000000"/>
          <w:sz w:val="32"/>
          <w:szCs w:val="32"/>
          <w:highlight w:val="none"/>
          <w:lang w:val="en-US" w:eastAsia="zh-CN"/>
        </w:rPr>
        <w:t>具体内容如下：</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需求调研管理（主要包括调研的车工费（燃油费）、食宿费等费用）；</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理论培训管理（主要包括培训过程中发生的教材费、教师讲课费、</w:t>
      </w:r>
      <w:r>
        <w:rPr>
          <w:rFonts w:hint="eastAsia" w:ascii="仿宋_GB2312" w:hAnsi="仿宋_GB2312" w:eastAsia="仿宋_GB2312" w:cs="仿宋_GB2312"/>
          <w:sz w:val="32"/>
          <w:szCs w:val="32"/>
          <w:highlight w:val="none"/>
          <w:lang w:val="en-US" w:eastAsia="zh-CN"/>
        </w:rPr>
        <w:t>教室租赁费、</w:t>
      </w:r>
      <w:r>
        <w:rPr>
          <w:rFonts w:hint="eastAsia" w:ascii="仿宋_GB2312" w:hAnsi="仿宋_GB2312" w:eastAsia="仿宋_GB2312" w:cs="仿宋_GB2312"/>
          <w:sz w:val="32"/>
          <w:szCs w:val="32"/>
          <w:highlight w:val="none"/>
        </w:rPr>
        <w:t>学员</w:t>
      </w:r>
      <w:r>
        <w:rPr>
          <w:rFonts w:hint="eastAsia" w:ascii="仿宋_GB2312" w:hAnsi="仿宋_GB2312" w:eastAsia="仿宋_GB2312" w:cs="仿宋_GB2312"/>
          <w:sz w:val="32"/>
          <w:szCs w:val="32"/>
          <w:highlight w:val="none"/>
          <w:lang w:val="en-US" w:eastAsia="zh-CN"/>
        </w:rPr>
        <w:t>及教师管理人员</w:t>
      </w:r>
      <w:r>
        <w:rPr>
          <w:rFonts w:hint="eastAsia" w:ascii="仿宋_GB2312" w:hAnsi="仿宋_GB2312" w:eastAsia="仿宋_GB2312" w:cs="仿宋_GB2312"/>
          <w:sz w:val="32"/>
          <w:szCs w:val="32"/>
          <w:highlight w:val="none"/>
        </w:rPr>
        <w:t>食宿费、车工费、学习用品、印刷费、学员保险费、学员</w:t>
      </w:r>
      <w:r>
        <w:rPr>
          <w:rFonts w:hint="eastAsia" w:ascii="仿宋_GB2312" w:hAnsi="仿宋_GB2312" w:eastAsia="仿宋_GB2312" w:cs="仿宋_GB2312"/>
          <w:sz w:val="32"/>
          <w:szCs w:val="32"/>
          <w:highlight w:val="none"/>
          <w:lang w:val="en-US" w:eastAsia="zh-CN"/>
        </w:rPr>
        <w:t>档案</w:t>
      </w:r>
      <w:r>
        <w:rPr>
          <w:rFonts w:hint="eastAsia" w:ascii="仿宋_GB2312" w:hAnsi="仿宋_GB2312" w:eastAsia="仿宋_GB2312" w:cs="仿宋_GB2312"/>
          <w:sz w:val="32"/>
          <w:szCs w:val="32"/>
          <w:highlight w:val="none"/>
        </w:rPr>
        <w:t>照片费</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饮用水、应急药品等费用</w:t>
      </w:r>
      <w:r>
        <w:rPr>
          <w:rFonts w:hint="eastAsia" w:ascii="仿宋_GB2312" w:hAnsi="仿宋_GB2312" w:eastAsia="仿宋_GB2312" w:cs="仿宋_GB2312"/>
          <w:sz w:val="32"/>
          <w:szCs w:val="32"/>
          <w:highlight w:val="none"/>
        </w:rPr>
        <w:t>）；</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实训、观摩交流管理（主要包括实训过程发生的观摩参观费、</w:t>
      </w:r>
      <w:r>
        <w:rPr>
          <w:rFonts w:hint="eastAsia" w:ascii="仿宋_GB2312" w:hAnsi="仿宋_GB2312" w:eastAsia="仿宋_GB2312" w:cs="仿宋_GB2312"/>
          <w:sz w:val="32"/>
          <w:szCs w:val="32"/>
          <w:highlight w:val="none"/>
          <w:lang w:val="en-US" w:eastAsia="zh-CN"/>
        </w:rPr>
        <w:t>实操费、</w:t>
      </w:r>
      <w:r>
        <w:rPr>
          <w:rFonts w:hint="eastAsia" w:ascii="仿宋_GB2312" w:hAnsi="仿宋_GB2312" w:eastAsia="仿宋_GB2312" w:cs="仿宋_GB2312"/>
          <w:sz w:val="32"/>
          <w:szCs w:val="32"/>
          <w:highlight w:val="none"/>
        </w:rPr>
        <w:t>教师指导费、</w:t>
      </w:r>
      <w:r>
        <w:rPr>
          <w:rFonts w:hint="eastAsia" w:ascii="仿宋_GB2312" w:hAnsi="仿宋_GB2312" w:eastAsia="仿宋_GB2312" w:cs="仿宋_GB2312"/>
          <w:sz w:val="32"/>
          <w:szCs w:val="32"/>
          <w:highlight w:val="none"/>
          <w:lang w:val="en-US" w:eastAsia="zh-CN"/>
        </w:rPr>
        <w:t>学员保险费、</w:t>
      </w:r>
      <w:r>
        <w:rPr>
          <w:rFonts w:hint="eastAsia" w:ascii="仿宋_GB2312" w:hAnsi="仿宋_GB2312" w:eastAsia="仿宋_GB2312" w:cs="仿宋_GB2312"/>
          <w:sz w:val="32"/>
          <w:szCs w:val="32"/>
          <w:highlight w:val="none"/>
        </w:rPr>
        <w:t>实训车工费、实训食宿费、</w:t>
      </w:r>
      <w:r>
        <w:rPr>
          <w:rFonts w:hint="eastAsia" w:ascii="仿宋_GB2312" w:hAnsi="仿宋_GB2312" w:eastAsia="仿宋_GB2312" w:cs="仿宋_GB2312"/>
          <w:sz w:val="32"/>
          <w:szCs w:val="32"/>
          <w:highlight w:val="none"/>
          <w:lang w:val="en-US" w:eastAsia="zh-CN"/>
        </w:rPr>
        <w:t>基地费、</w:t>
      </w:r>
      <w:r>
        <w:rPr>
          <w:rFonts w:hint="eastAsia" w:ascii="仿宋_GB2312" w:hAnsi="仿宋_GB2312" w:eastAsia="仿宋_GB2312" w:cs="仿宋_GB2312"/>
          <w:sz w:val="32"/>
          <w:szCs w:val="32"/>
          <w:highlight w:val="none"/>
        </w:rPr>
        <w:t>实训耗材费</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饮用水、应急药品等费用</w:t>
      </w:r>
      <w:r>
        <w:rPr>
          <w:rFonts w:hint="eastAsia" w:ascii="仿宋_GB2312" w:hAnsi="仿宋_GB2312" w:eastAsia="仿宋_GB2312" w:cs="仿宋_GB2312"/>
          <w:sz w:val="32"/>
          <w:szCs w:val="32"/>
          <w:highlight w:val="none"/>
        </w:rPr>
        <w:t>等费用）；</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跟踪服务管理（主要包括跟踪服务过程发生的指导费、车工费、教材、资料等费用）；</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档案制作管理（主要包括印刷费</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证书打印、档案制作、</w:t>
      </w:r>
      <w:r>
        <w:rPr>
          <w:rFonts w:hint="eastAsia" w:ascii="仿宋_GB2312" w:hAnsi="仿宋_GB2312" w:eastAsia="仿宋_GB2312" w:cs="仿宋_GB2312"/>
          <w:sz w:val="32"/>
          <w:szCs w:val="32"/>
          <w:highlight w:val="none"/>
        </w:rPr>
        <w:t>档案耗材费等费用）。</w:t>
      </w:r>
    </w:p>
    <w:p>
      <w:pPr>
        <w:pageBreakBefore w:val="0"/>
        <w:widowControl w:val="0"/>
        <w:kinsoku/>
        <w:wordWrap/>
        <w:overflowPunct/>
        <w:topLinePunct w:val="0"/>
        <w:autoSpaceDE/>
        <w:autoSpaceDN/>
        <w:bidi w:val="0"/>
        <w:adjustRightInd/>
        <w:snapToGrid/>
        <w:spacing w:line="240" w:lineRule="auto"/>
        <w:ind w:firstLine="810" w:firstLineChars="300"/>
        <w:textAlignment w:val="auto"/>
        <w:rPr>
          <w:rFonts w:hint="eastAsia" w:ascii="黑体" w:hAnsi="黑体" w:eastAsia="黑体" w:cs="黑体"/>
          <w:spacing w:val="-20"/>
          <w:sz w:val="31"/>
          <w:szCs w:val="31"/>
          <w:highlight w:val="none"/>
          <w:lang w:val="en-US" w:eastAsia="zh-CN"/>
        </w:rPr>
      </w:pPr>
      <w:r>
        <w:rPr>
          <w:rFonts w:hint="eastAsia" w:ascii="黑体" w:hAnsi="黑体" w:eastAsia="黑体" w:cs="黑体"/>
          <w:spacing w:val="-20"/>
          <w:sz w:val="31"/>
          <w:szCs w:val="31"/>
          <w:highlight w:val="none"/>
          <w:lang w:val="en-US" w:eastAsia="zh-CN"/>
        </w:rPr>
        <w:t>五、保障措施</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highlight w:val="none"/>
        </w:rPr>
      </w:pPr>
      <w:r>
        <w:rPr>
          <w:rFonts w:hint="eastAsia" w:ascii="楷体" w:hAnsi="楷体" w:eastAsia="楷体" w:cs="楷体"/>
          <w:sz w:val="32"/>
          <w:szCs w:val="32"/>
          <w:highlight w:val="none"/>
        </w:rPr>
        <w:t>（一）突出党建引领。</w:t>
      </w:r>
      <w:r>
        <w:rPr>
          <w:rFonts w:hint="eastAsia" w:ascii="仿宋_GB2312" w:hAnsi="仿宋_GB2312" w:eastAsia="仿宋_GB2312" w:cs="仿宋_GB2312"/>
          <w:sz w:val="32"/>
          <w:szCs w:val="32"/>
          <w:highlight w:val="none"/>
        </w:rPr>
        <w:t>将高素质农牧民培育工作与基层党的建设深度融合，坚持"行政主管部门第一课"制度，聚焦深入学习贯彻习近平新时代中国特色社会主义思想，将党的二十大精神、202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年中央一号文件精神、社会主义核心价值观等重要内容融入培育全过程各环节，全面加强农牧民素质素养提升。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楷体" w:hAnsi="楷体" w:eastAsia="楷体" w:cs="楷体"/>
          <w:sz w:val="32"/>
          <w:szCs w:val="32"/>
          <w:highlight w:val="none"/>
        </w:rPr>
        <w:t>（三）强化监管力度</w:t>
      </w:r>
      <w:r>
        <w:rPr>
          <w:rFonts w:hint="eastAsia" w:eastAsia="仿宋_GB2312"/>
          <w:sz w:val="32"/>
          <w:szCs w:val="32"/>
          <w:highlight w:val="none"/>
        </w:rPr>
        <w:t>。</w:t>
      </w:r>
      <w:r>
        <w:rPr>
          <w:rFonts w:hint="eastAsia" w:ascii="仿宋_GB2312" w:hAnsi="仿宋_GB2312" w:eastAsia="仿宋_GB2312" w:cs="仿宋_GB2312"/>
          <w:color w:val="000000"/>
          <w:sz w:val="32"/>
          <w:szCs w:val="32"/>
          <w:highlight w:val="none"/>
          <w:lang w:val="en-US" w:eastAsia="zh-CN"/>
        </w:rPr>
        <w:t>喀喇沁旗农牧局严格按照相关规定，切实担负起项目实施和资金使用管理的主体责任和监督责任，抓好“农民教育培训信息管理系统”数据填报和审核，坚决防止错报、漏报等现象发生。做好“农业农村部转移支付管理平台”做好资金支出监管，</w:t>
      </w:r>
      <w:r>
        <w:rPr>
          <w:rFonts w:hint="eastAsia" w:ascii="仿宋_GB2312" w:hAnsi="仿宋_GB2312" w:eastAsia="仿宋_GB2312" w:cs="仿宋_GB2312"/>
          <w:sz w:val="32"/>
          <w:szCs w:val="32"/>
          <w:highlight w:val="none"/>
        </w:rPr>
        <w:t>明确开支内容和报账程序，做到专款专用，不准自行调整和改变资金用途。</w:t>
      </w:r>
      <w:r>
        <w:rPr>
          <w:rFonts w:hint="eastAsia" w:ascii="仿宋_GB2312" w:hAnsi="仿宋_GB2312" w:eastAsia="仿宋_GB2312" w:cs="仿宋_GB2312"/>
          <w:color w:val="000000"/>
          <w:sz w:val="32"/>
          <w:szCs w:val="32"/>
          <w:highlight w:val="none"/>
          <w:lang w:val="en-US" w:eastAsia="zh-CN"/>
        </w:rPr>
        <w:t>全面提升项目资金使用效能，坚决防止在项目执行过程中出现违规违纪违法行为，防范廉政风险。</w:t>
      </w:r>
    </w:p>
    <w:p>
      <w:pPr>
        <w:pageBreakBefore w:val="0"/>
        <w:widowControl w:val="0"/>
        <w:kinsoku/>
        <w:wordWrap/>
        <w:overflowPunct/>
        <w:topLinePunct w:val="0"/>
        <w:autoSpaceDE/>
        <w:autoSpaceDN/>
        <w:bidi w:val="0"/>
        <w:adjustRightInd/>
        <w:snapToGrid/>
        <w:spacing w:line="240" w:lineRule="auto"/>
        <w:textAlignment w:val="auto"/>
        <w:rPr>
          <w:rFonts w:hint="eastAsia" w:eastAsia="仿宋_GB2312"/>
          <w:sz w:val="32"/>
          <w:szCs w:val="32"/>
          <w:highlight w:val="none"/>
        </w:rPr>
      </w:pPr>
      <w:r>
        <w:rPr>
          <w:rFonts w:hint="eastAsia" w:ascii="楷体" w:hAnsi="楷体" w:eastAsia="楷体" w:cs="楷体"/>
          <w:sz w:val="32"/>
          <w:szCs w:val="32"/>
          <w:highlight w:val="none"/>
          <w:lang w:eastAsia="zh-CN"/>
        </w:rPr>
        <w:t>　　</w:t>
      </w:r>
      <w:r>
        <w:rPr>
          <w:rFonts w:hint="eastAsia" w:ascii="楷体" w:hAnsi="楷体" w:eastAsia="楷体" w:cs="楷体"/>
          <w:sz w:val="32"/>
          <w:szCs w:val="32"/>
          <w:highlight w:val="none"/>
        </w:rPr>
        <w:t>（四）严格绩效考评。</w:t>
      </w:r>
      <w:r>
        <w:rPr>
          <w:rFonts w:hint="eastAsia" w:ascii="仿宋_GB2312" w:hAnsi="仿宋_GB2312" w:eastAsia="仿宋_GB2312" w:cs="仿宋_GB2312"/>
          <w:sz w:val="32"/>
          <w:szCs w:val="32"/>
          <w:highlight w:val="none"/>
        </w:rPr>
        <w:t>严格依照农业农村部科技教育司《高素质农民培育工作绩效管理指标体系（202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年）》要求，依托全国农民教育培训信息管理系统和农业农村部转移支付管理平台，开展项目实施过程管理和绩效结果评价，开展培训在线监管和评价。对培训机构、培训教师和培训基地采取动态管象满意度为核心指标，按照绩效指标考核体系，对高素质农民培育工作进行全面绩效考评，培训教师、培训基地、培训班组织和培训效果等进行线上评价考核。开展参训农牧民培训信息统计和发展情况监测，实现参训农牧民基本信息100%入库，培育全程可</w:t>
      </w:r>
      <w:r>
        <w:rPr>
          <w:rFonts w:hint="eastAsia" w:ascii="仿宋_GB2312" w:hAnsi="仿宋_GB2312" w:eastAsia="仿宋_GB2312" w:cs="仿宋_GB2312"/>
          <w:sz w:val="32"/>
          <w:szCs w:val="32"/>
          <w:highlight w:val="none"/>
          <w:lang w:val="en-US" w:eastAsia="zh-CN"/>
        </w:rPr>
        <w:t>监</w:t>
      </w:r>
      <w:r>
        <w:rPr>
          <w:rFonts w:hint="eastAsia" w:ascii="仿宋_GB2312" w:hAnsi="仿宋_GB2312" w:eastAsia="仿宋_GB2312" w:cs="仿宋_GB2312"/>
          <w:sz w:val="32"/>
          <w:szCs w:val="32"/>
          <w:highlight w:val="none"/>
        </w:rPr>
        <w:t>测可追溯。</w:t>
      </w:r>
      <w:r>
        <w:rPr>
          <w:rFonts w:hint="eastAsia" w:eastAsia="仿宋_GB2312"/>
          <w:sz w:val="32"/>
          <w:szCs w:val="32"/>
          <w:highlight w:val="none"/>
        </w:rPr>
        <w:t xml:space="preserve"> </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highlight w:val="none"/>
        </w:rPr>
      </w:pPr>
      <w:r>
        <w:rPr>
          <w:rFonts w:hint="eastAsia" w:ascii="楷体" w:hAnsi="楷体" w:eastAsia="楷体" w:cs="楷体"/>
          <w:sz w:val="32"/>
          <w:szCs w:val="32"/>
          <w:highlight w:val="none"/>
        </w:rPr>
        <w:t>（五）搭建展示平台。</w:t>
      </w:r>
      <w:r>
        <w:rPr>
          <w:rFonts w:hint="eastAsia" w:ascii="仿宋_GB2312" w:hAnsi="仿宋_GB2312" w:eastAsia="仿宋_GB2312" w:cs="仿宋_GB2312"/>
          <w:sz w:val="32"/>
          <w:szCs w:val="32"/>
          <w:highlight w:val="none"/>
        </w:rPr>
        <w:t>组织遴选推介优秀学员、优秀老师，评选精品课程、优质教材和受欢迎培训机构、实训基地，积极举办和参与创新创业大赛、技术技能比赛、展览展示等实践活动，强化先进典型示范引领，总结推广成功模式，充分发挥高素质农牧民典型辐射带动作用，推功高素质农牧民培育工作长足发展。</w:t>
      </w:r>
    </w:p>
    <w:p>
      <w:pPr>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highlight w:val="none"/>
          <w:lang w:val="en-US" w:eastAsia="zh-CN"/>
        </w:rPr>
      </w:pP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highlight w:val="none"/>
          <w:lang w:val="en-US" w:eastAsia="zh-CN"/>
        </w:rPr>
      </w:pPr>
      <w:r>
        <w:rPr>
          <w:rFonts w:hint="eastAsia" w:ascii="仿宋_GB2312" w:hAnsi="仿宋_GB2312" w:eastAsia="仿宋_GB2312" w:cs="仿宋_GB2312"/>
          <w:sz w:val="32"/>
          <w:szCs w:val="32"/>
          <w:highlight w:val="none"/>
          <w:lang w:val="en-US" w:eastAsia="zh-CN"/>
        </w:rPr>
        <w:t>附件1、内蒙古自治区高素质农牧民培育项目管理规程</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附件2、农业农村部《高素质农民培训规范》</w:t>
      </w:r>
    </w:p>
    <w:p>
      <w:pPr>
        <w:pStyle w:val="2"/>
        <w:rPr>
          <w:rFonts w:hint="eastAsia"/>
          <w:highlight w:val="none"/>
        </w:rPr>
      </w:pPr>
    </w:p>
    <w:p>
      <w:pPr>
        <w:ind w:firstLine="4800" w:firstLineChars="1500"/>
        <w:rPr>
          <w:rFonts w:hint="eastAsia" w:ascii="仿宋_GB2312" w:hAnsi="仿宋_GB2312" w:eastAsia="仿宋_GB2312" w:cs="仿宋_GB2312"/>
          <w:sz w:val="32"/>
          <w:szCs w:val="32"/>
          <w:highlight w:val="none"/>
        </w:rPr>
      </w:pPr>
    </w:p>
    <w:p>
      <w:pPr>
        <w:rPr>
          <w:rFonts w:hint="eastAsia" w:ascii="仿宋_GB2312" w:hAnsi="仿宋_GB2312" w:eastAsia="仿宋_GB2312" w:cs="仿宋_GB2312"/>
          <w:sz w:val="32"/>
          <w:szCs w:val="32"/>
          <w:highlight w:val="none"/>
        </w:rPr>
      </w:pPr>
    </w:p>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D726B9"/>
    <w:rsid w:val="0F657030"/>
    <w:rsid w:val="2A7566F7"/>
    <w:rsid w:val="2DD12008"/>
    <w:rsid w:val="492C04DF"/>
    <w:rsid w:val="4E075302"/>
    <w:rsid w:val="53161C01"/>
    <w:rsid w:val="586B2E3A"/>
    <w:rsid w:val="659D6186"/>
    <w:rsid w:val="7BDC717B"/>
    <w:rsid w:val="7EE30820"/>
    <w:rsid w:val="7F7515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3995</Words>
  <Characters>4090</Characters>
  <Lines>0</Lines>
  <Paragraphs>0</Paragraphs>
  <TotalTime>4</TotalTime>
  <ScaleCrop>false</ScaleCrop>
  <LinksUpToDate>false</LinksUpToDate>
  <CharactersWithSpaces>4102</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2026-07-29T15:54:00Z</dcterms:created>
  <dc:creator>Administrator</dc:creator>
  <cp:lastModifiedBy>admin</cp:lastModifiedBy>
  <cp:lastPrinted>2026-08-03T11:03:00Z</cp:lastPrinted>
  <dcterms:modified xsi:type="dcterms:W3CDTF">2026-10-09T16:00:02Z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KSOTemplateDocerSaveRecord">
    <vt:lpwstr>eyJoZGlkIjoiYjg2Yzk1MWQ2ZWYwOTE5NTBmM2IxNWY4MThkODMyYzIiLCJ1c2VySWQiOiI1NzY3NzAyMDEifQ==</vt:lpwstr>
  </property>
  <property fmtid="{D5CDD505-2E9C-101B-9397-08002B2CF9AE}" pid="4" name="ICV">
    <vt:lpwstr>A1951AE7A5424644A9C9BF5CD8E0D177_12</vt:lpwstr>
  </property>
</Properties>
</file>