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43191">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提案编号：001</w:t>
      </w:r>
    </w:p>
    <w:p w14:paraId="36E6BF02">
      <w:pPr>
        <w:spacing w:line="600" w:lineRule="exact"/>
        <w:ind w:left="1320" w:hanging="1320" w:hangingChars="400"/>
        <w:jc w:val="left"/>
        <w:rPr>
          <w:rFonts w:ascii="楷体_GB2312" w:hAnsi="方正小标宋简体" w:eastAsia="楷体_GB2312" w:cs="方正小标宋简体"/>
          <w:sz w:val="32"/>
          <w:szCs w:val="32"/>
        </w:rPr>
      </w:pPr>
      <w:r>
        <w:rPr>
          <w:rFonts w:hint="eastAsia" w:ascii="楷体_GB2312" w:hAnsi="方正楷体_GBK" w:eastAsia="楷体_GB2312" w:cs="方正楷体_GBK"/>
          <w:color w:val="000000"/>
          <w:spacing w:val="5"/>
          <w:sz w:val="32"/>
          <w:szCs w:val="32"/>
        </w:rPr>
        <w:t>提案名称：</w:t>
      </w:r>
      <w:r>
        <w:rPr>
          <w:rFonts w:hint="eastAsia" w:ascii="楷体_GB2312" w:hAnsi="方正小标宋简体" w:eastAsia="楷体_GB2312" w:cs="方正小标宋简体"/>
          <w:sz w:val="32"/>
          <w:szCs w:val="32"/>
        </w:rPr>
        <w:t>关于加大治理无理访力度维护良好社会秩序的提案</w:t>
      </w:r>
    </w:p>
    <w:p w14:paraId="533CE8C9">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 案 人：杨鹏宇</w:t>
      </w:r>
    </w:p>
    <w:p w14:paraId="59195A56">
      <w:pPr>
        <w:spacing w:line="560" w:lineRule="exact"/>
        <w:rPr>
          <w:rFonts w:ascii="楷体_GB2312" w:hAnsi="华文仿宋" w:eastAsia="楷体_GB2312" w:cs="华文仿宋"/>
          <w:kern w:val="0"/>
          <w:sz w:val="32"/>
          <w:szCs w:val="32"/>
        </w:rPr>
      </w:pPr>
      <w:r>
        <w:rPr>
          <w:rFonts w:hint="eastAsia" w:ascii="楷体_GB2312" w:hAnsi="方正楷体_GBK" w:eastAsia="楷体_GB2312" w:cs="方正楷体_GBK"/>
          <w:color w:val="000000"/>
          <w:spacing w:val="5"/>
          <w:sz w:val="32"/>
          <w:szCs w:val="32"/>
        </w:rPr>
        <w:t>联系方式：</w:t>
      </w:r>
      <w:r>
        <w:rPr>
          <w:rFonts w:ascii="楷体_GB2312" w:hAnsi="方正楷体_GBK" w:eastAsia="楷体_GB2312" w:cs="方正楷体_GBK"/>
          <w:color w:val="000000"/>
          <w:spacing w:val="5"/>
          <w:sz w:val="32"/>
          <w:szCs w:val="32"/>
        </w:rPr>
        <w:t>15849692755</w:t>
      </w:r>
    </w:p>
    <w:p w14:paraId="55E7417E">
      <w:pPr>
        <w:pStyle w:val="11"/>
        <w:widowControl/>
        <w:tabs>
          <w:tab w:val="center" w:pos="4153"/>
        </w:tabs>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界    别：中国共产党</w:t>
      </w:r>
    </w:p>
    <w:p w14:paraId="7CEB569C">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关于加大治理无理访力度维护良好社会秩序的提案</w:t>
      </w:r>
    </w:p>
    <w:p w14:paraId="509D7A19">
      <w:pPr>
        <w:spacing w:line="560" w:lineRule="exact"/>
        <w:rPr>
          <w:rFonts w:ascii="仿宋_GB2312" w:hAnsi="仿宋_GB2312" w:eastAsia="仿宋_GB2312" w:cs="仿宋_GB2312"/>
          <w:sz w:val="32"/>
          <w:szCs w:val="32"/>
        </w:rPr>
      </w:pPr>
    </w:p>
    <w:p w14:paraId="506ADDB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近年来，随着信访法治化的不断推进以及信访代办制等一些举措的有效落实，信访工作自身规范程度及整体质效提升明显，信访工作在解决群众诉求、维护社会稳定方面发挥了重要作用。然而，缠访闹访无理访现象仍未得到有效治理，不仅扰乱了正常的信访秩序，也浪费了大量的行政资源，给社会带来了严重不良影响。</w:t>
      </w:r>
    </w:p>
    <w:p w14:paraId="1E9D1201">
      <w:pPr>
        <w:spacing w:line="560" w:lineRule="exact"/>
        <w:ind w:firstLine="640" w:firstLineChars="200"/>
        <w:rPr>
          <w:rFonts w:ascii="黑体" w:hAnsi="黑体" w:eastAsia="黑体" w:cs="楷体_GB2312"/>
          <w:sz w:val="32"/>
          <w:szCs w:val="32"/>
        </w:rPr>
      </w:pPr>
      <w:r>
        <w:rPr>
          <w:rFonts w:hint="eastAsia" w:ascii="黑体" w:hAnsi="黑体" w:eastAsia="黑体" w:cs="楷体_GB2312"/>
          <w:sz w:val="32"/>
          <w:szCs w:val="32"/>
        </w:rPr>
        <w:t>一、存在的问题</w:t>
      </w:r>
    </w:p>
    <w:p w14:paraId="3CA140CB">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（一）大量“信访钉子户”问题多年未决。</w:t>
      </w:r>
      <w:r>
        <w:rPr>
          <w:rFonts w:hint="eastAsia" w:ascii="仿宋_GB2312" w:hAnsi="仿宋_GB2312" w:eastAsia="仿宋_GB2312" w:cs="仿宋_GB2312"/>
          <w:sz w:val="32"/>
          <w:szCs w:val="32"/>
        </w:rPr>
        <w:t>一些重点信访人信访问题已积存多年，其所提出事实缺乏有力证据支撑，信访人根据一点事由将事件主观放大，坚持提出明显超出合理范围的诉求，并认为“政府（多指事权单位及属地）既然联系其化解稳控，肯定是没理、肯定是害怕”，从而更加坚定信访意图。</w:t>
      </w:r>
    </w:p>
    <w:p w14:paraId="101EF4B6">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（二）“信访不信法”现象有所抬头。</w:t>
      </w:r>
      <w:r>
        <w:rPr>
          <w:rFonts w:hint="eastAsia" w:ascii="仿宋_GB2312" w:hAnsi="仿宋_GB2312" w:eastAsia="仿宋_GB2312" w:cs="仿宋_GB2312"/>
          <w:sz w:val="32"/>
          <w:szCs w:val="32"/>
        </w:rPr>
        <w:t>一些民事纠纷问题，但信访人以“不懂法”、“嫌麻烦”等为由，拒不通过法律途径解决，有的已经司法机关审判甚至上级法院复审，但信访人置之于不顾坚持信访。少数信访人虽然在事权单位及属地积极化解下，签订了息诉罢访协议，但事后出尔反尔、我行我素。还有个别信访人明知诉求不合理，但在收到答复后故意拒不履行复核复查程序，导致信访事项无法达成“三级终结”。</w:t>
      </w:r>
    </w:p>
    <w:p w14:paraId="0440F1E9">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（三）信访行为愈加复杂化，稳控难度大。</w:t>
      </w:r>
      <w:r>
        <w:rPr>
          <w:rFonts w:hint="eastAsia" w:ascii="仿宋_GB2312" w:hAnsi="仿宋_GB2312" w:eastAsia="仿宋_GB2312" w:cs="仿宋_GB2312"/>
          <w:sz w:val="32"/>
          <w:szCs w:val="32"/>
        </w:rPr>
        <w:t>部分重点信访人持续进京走访，在对其进行释法说理及积极稳控后，即以在京看病、务工等为由进京并滞留以施加压力。少数信访人针对自身事项仅仅简单问询咨询，未得到满意答复便直接进京信访，还有个别信访人以进京访为依仗，嚣张跋扈对抗稳控，一言不合就四处举报控告当事工作人员，给稳控造成极大难度。</w:t>
      </w:r>
    </w:p>
    <w:p w14:paraId="5D68F2C4">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（四）责任划分不清，处置合力不够。</w:t>
      </w:r>
      <w:r>
        <w:rPr>
          <w:rFonts w:hint="eastAsia" w:ascii="仿宋_GB2312" w:hAnsi="仿宋_GB2312" w:eastAsia="仿宋_GB2312" w:cs="仿宋_GB2312"/>
          <w:sz w:val="32"/>
          <w:szCs w:val="32"/>
        </w:rPr>
        <w:t>一部分信访事项事权单位和属地分离，在处置过程中，存在一定的重稳控轻处办的情况，更多要求属地做好稳控，但对事权单位处办缺乏有效监督。个别信访事项事权单位不做积极答复，履行程序不规范，不能及时按信访法治化要求明确诉求是否属合理，给处办造成难度。对个别长期越级进京访人员，打击处理力度欠缺，导致信访人无所畏惧、肆意妄为。</w:t>
      </w:r>
    </w:p>
    <w:p w14:paraId="645F7524">
      <w:pPr>
        <w:spacing w:line="560" w:lineRule="exact"/>
        <w:ind w:firstLine="640" w:firstLineChars="200"/>
        <w:rPr>
          <w:rFonts w:ascii="黑体" w:hAnsi="黑体" w:eastAsia="黑体" w:cs="楷体_GB2312"/>
          <w:sz w:val="32"/>
          <w:szCs w:val="32"/>
        </w:rPr>
      </w:pPr>
      <w:r>
        <w:rPr>
          <w:rFonts w:hint="eastAsia" w:ascii="黑体" w:hAnsi="黑体" w:eastAsia="黑体" w:cs="楷体_GB2312"/>
          <w:sz w:val="32"/>
          <w:szCs w:val="32"/>
        </w:rPr>
        <w:t>二、建议</w:t>
      </w:r>
    </w:p>
    <w:p w14:paraId="09D42698">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（一）加强法治宣传教育。</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广泛宣传信访法治化相关政策法规。认真贯彻执行《信访工作条例》及《赤峰市关于依法处置信访活动中违法犯罪行为的通告》，提高群众的法制意识，引导群众依法、理性、有序信访。</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开展针对性释法说理，针对存在缠访闹访无理访的群众，进行有针对性的法治教育，让他们明白缠访闹访无理访的法律后果。</w:t>
      </w:r>
    </w:p>
    <w:p w14:paraId="6310DF7F">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（二）完善信访工作机制。</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实施信访事项研判告知制度。由旗信访工作联席会议对信访事项进行研判，对于不合理的诉求由事权单位及时予以书面明确答复，并做好解释工作。</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完善信访终结制度。针对信访人拒不提出复查复核申请执意越级访、无理访的，应授权由属地或责任单位提请复核复查，通过三级终结的信访事项，不再受理，同时建立相应的备案和跟踪机制，确保终结事项不再反弹。</w:t>
      </w:r>
    </w:p>
    <w:p w14:paraId="4C3E669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w:t>
      </w:r>
      <w:r>
        <w:rPr>
          <w:rFonts w:hint="eastAsia" w:ascii="楷体_GB2312" w:hAnsi="仿宋_GB2312" w:eastAsia="楷体_GB2312" w:cs="仿宋_GB2312"/>
          <w:bCs/>
          <w:sz w:val="32"/>
          <w:szCs w:val="32"/>
        </w:rPr>
        <w:t>三）加强部门联动协作。</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严格落实信访工作责任制，明确各级各部门在信访工作中的职责，完善建立信访、公安、司法等部门的联动机制，对于缠访闹访无理访行为，及时进行依法处理。对于推诿扯皮、敷衍塞责导致信访问题激化的，要严肃追究责任。</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加强协作配合，各部门之间要通力配合、积极协作，及时通报信访工作中的重要情况和问题，共同研究解决办法，避免出现有权处理的不管、有权打击的不办、属地想尽办法劝的尴尬问题。</w:t>
      </w:r>
    </w:p>
    <w:p w14:paraId="7F71A7DB">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（四）做好源头治理工作。</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加强基层组织建设，充实完善基层信访、综治、社会治理力量和工作机制，加强履职保障，提高基层干部解决问题的能力和水平，及时化解矛盾纠纷，把问题解决在基层，消除在萌芽状态。</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完善社会矛盾纠纷排查化解机制，在定期开展排查的基础上，明确调处各类矛盾纠纷问题的责任主体，压实其责任，确保对发现的问题及时进行处理，防止矛盾激化。</w:t>
      </w:r>
    </w:p>
    <w:p w14:paraId="6ED7D33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综上，治理缠无理访是目前信访乃至基层社会治理工作亟待解决的重点问题，需要进一步健全机制、明确责任、细化举措，以保障工作高质量开展，切实维护正常的信访秩序，为经济社会发展营造良好的环境。</w:t>
      </w:r>
    </w:p>
    <w:p w14:paraId="4B18ABCC">
      <w:pPr>
        <w:spacing w:line="560" w:lineRule="exact"/>
        <w:rPr>
          <w:rFonts w:ascii="楷体_GB2312" w:hAnsi="楷体_GB2312" w:eastAsia="楷体_GB2312" w:cs="楷体_GB2312"/>
          <w:sz w:val="32"/>
          <w:szCs w:val="32"/>
        </w:rPr>
      </w:pPr>
    </w:p>
    <w:p w14:paraId="54199651">
      <w:pPr>
        <w:spacing w:line="560" w:lineRule="exact"/>
        <w:rPr>
          <w:rFonts w:ascii="楷体_GB2312" w:hAnsi="楷体_GB2312" w:eastAsia="楷体_GB2312" w:cs="楷体_GB2312"/>
          <w:sz w:val="32"/>
          <w:szCs w:val="32"/>
        </w:rPr>
      </w:pPr>
    </w:p>
    <w:p w14:paraId="0C64197C">
      <w:pPr>
        <w:spacing w:line="560" w:lineRule="exact"/>
        <w:rPr>
          <w:rFonts w:ascii="楷体_GB2312" w:hAnsi="楷体_GB2312" w:eastAsia="楷体_GB2312" w:cs="楷体_GB2312"/>
          <w:sz w:val="32"/>
          <w:szCs w:val="32"/>
        </w:rPr>
      </w:pPr>
    </w:p>
    <w:p w14:paraId="6D01C060">
      <w:pPr>
        <w:spacing w:line="560" w:lineRule="exact"/>
        <w:rPr>
          <w:rFonts w:ascii="楷体_GB2312" w:hAnsi="楷体_GB2312" w:eastAsia="楷体_GB2312" w:cs="楷体_GB2312"/>
          <w:sz w:val="32"/>
          <w:szCs w:val="32"/>
        </w:rPr>
      </w:pPr>
    </w:p>
    <w:p w14:paraId="3FF155F1">
      <w:pPr>
        <w:spacing w:line="560" w:lineRule="exact"/>
        <w:rPr>
          <w:rFonts w:ascii="楷体_GB2312" w:hAnsi="楷体_GB2312" w:eastAsia="楷体_GB2312" w:cs="楷体_GB2312"/>
          <w:sz w:val="32"/>
          <w:szCs w:val="32"/>
        </w:rPr>
      </w:pPr>
    </w:p>
    <w:p w14:paraId="721A60D8">
      <w:pPr>
        <w:spacing w:line="560" w:lineRule="exact"/>
        <w:rPr>
          <w:rFonts w:ascii="楷体_GB2312" w:hAnsi="楷体_GB2312" w:eastAsia="楷体_GB2312" w:cs="楷体_GB2312"/>
          <w:sz w:val="32"/>
          <w:szCs w:val="32"/>
        </w:rPr>
      </w:pPr>
    </w:p>
    <w:p w14:paraId="2B4C8B99">
      <w:pPr>
        <w:spacing w:line="560" w:lineRule="exact"/>
        <w:rPr>
          <w:rFonts w:ascii="楷体_GB2312" w:hAnsi="楷体_GB2312" w:eastAsia="楷体_GB2312" w:cs="楷体_GB2312"/>
          <w:sz w:val="32"/>
          <w:szCs w:val="32"/>
        </w:rPr>
      </w:pPr>
    </w:p>
    <w:p w14:paraId="23692F8A">
      <w:pPr>
        <w:spacing w:line="560" w:lineRule="exact"/>
        <w:rPr>
          <w:rFonts w:ascii="楷体_GB2312" w:hAnsi="楷体_GB2312" w:eastAsia="楷体_GB2312" w:cs="楷体_GB2312"/>
          <w:sz w:val="32"/>
          <w:szCs w:val="32"/>
        </w:rPr>
      </w:pPr>
    </w:p>
    <w:p w14:paraId="72CC23A7">
      <w:pPr>
        <w:spacing w:line="560" w:lineRule="exact"/>
        <w:rPr>
          <w:rFonts w:ascii="楷体_GB2312" w:hAnsi="楷体_GB2312" w:eastAsia="楷体_GB2312" w:cs="楷体_GB2312"/>
          <w:sz w:val="32"/>
          <w:szCs w:val="32"/>
        </w:rPr>
      </w:pPr>
    </w:p>
    <w:p w14:paraId="59E1C660">
      <w:pPr>
        <w:spacing w:line="560" w:lineRule="exact"/>
        <w:rPr>
          <w:rFonts w:ascii="楷体_GB2312" w:hAnsi="楷体_GB2312" w:eastAsia="楷体_GB2312" w:cs="楷体_GB2312"/>
          <w:sz w:val="32"/>
          <w:szCs w:val="32"/>
        </w:rPr>
      </w:pPr>
    </w:p>
    <w:p w14:paraId="6DDA281D">
      <w:pPr>
        <w:spacing w:line="560" w:lineRule="exact"/>
        <w:rPr>
          <w:rFonts w:ascii="楷体_GB2312" w:hAnsi="楷体_GB2312" w:eastAsia="楷体_GB2312" w:cs="楷体_GB2312"/>
          <w:sz w:val="32"/>
          <w:szCs w:val="32"/>
        </w:rPr>
      </w:pPr>
    </w:p>
    <w:p w14:paraId="4587338C">
      <w:pPr>
        <w:spacing w:line="560" w:lineRule="exact"/>
        <w:rPr>
          <w:rFonts w:ascii="楷体_GB2312" w:hAnsi="楷体_GB2312" w:eastAsia="楷体_GB2312" w:cs="楷体_GB2312"/>
          <w:sz w:val="32"/>
          <w:szCs w:val="32"/>
        </w:rPr>
      </w:pPr>
    </w:p>
    <w:p w14:paraId="278D9568">
      <w:pPr>
        <w:spacing w:line="560" w:lineRule="exact"/>
        <w:rPr>
          <w:rFonts w:ascii="楷体_GB2312" w:hAnsi="楷体_GB2312" w:eastAsia="楷体_GB2312" w:cs="楷体_GB2312"/>
          <w:sz w:val="32"/>
          <w:szCs w:val="32"/>
        </w:rPr>
      </w:pPr>
    </w:p>
    <w:p w14:paraId="226E3984">
      <w:pPr>
        <w:spacing w:line="560" w:lineRule="exact"/>
        <w:rPr>
          <w:rFonts w:ascii="楷体_GB2312" w:hAnsi="楷体_GB2312" w:eastAsia="楷体_GB2312" w:cs="楷体_GB2312"/>
          <w:sz w:val="32"/>
          <w:szCs w:val="32"/>
        </w:rPr>
      </w:pPr>
    </w:p>
    <w:p w14:paraId="630D3799">
      <w:pPr>
        <w:spacing w:line="560" w:lineRule="exact"/>
        <w:rPr>
          <w:rFonts w:ascii="楷体_GB2312" w:hAnsi="楷体_GB2312" w:eastAsia="楷体_GB2312" w:cs="楷体_GB2312"/>
          <w:sz w:val="32"/>
          <w:szCs w:val="32"/>
        </w:rPr>
      </w:pPr>
    </w:p>
    <w:p w14:paraId="67C23E43">
      <w:pPr>
        <w:spacing w:line="560" w:lineRule="exact"/>
        <w:rPr>
          <w:rFonts w:ascii="楷体_GB2312" w:hAnsi="楷体_GB2312" w:eastAsia="楷体_GB2312" w:cs="楷体_GB2312"/>
          <w:sz w:val="32"/>
          <w:szCs w:val="32"/>
        </w:rPr>
      </w:pPr>
    </w:p>
    <w:p w14:paraId="7669EDCA">
      <w:pPr>
        <w:spacing w:line="560" w:lineRule="exact"/>
        <w:rPr>
          <w:rFonts w:ascii="楷体_GB2312" w:hAnsi="楷体_GB2312" w:eastAsia="楷体_GB2312" w:cs="楷体_GB2312"/>
          <w:sz w:val="32"/>
          <w:szCs w:val="32"/>
        </w:rPr>
      </w:pPr>
    </w:p>
    <w:p w14:paraId="5E9345BC">
      <w:pPr>
        <w:spacing w:line="560" w:lineRule="exact"/>
        <w:rPr>
          <w:rFonts w:ascii="楷体_GB2312" w:hAnsi="楷体_GB2312" w:eastAsia="楷体_GB2312" w:cs="楷体_GB2312"/>
          <w:sz w:val="32"/>
          <w:szCs w:val="32"/>
        </w:rPr>
      </w:pPr>
    </w:p>
    <w:p w14:paraId="5A5E4477">
      <w:pPr>
        <w:spacing w:line="560" w:lineRule="exact"/>
        <w:rPr>
          <w:rFonts w:ascii="楷体_GB2312" w:hAnsi="楷体_GB2312" w:eastAsia="楷体_GB2312" w:cs="楷体_GB2312"/>
          <w:sz w:val="32"/>
          <w:szCs w:val="32"/>
        </w:rPr>
      </w:pPr>
    </w:p>
    <w:p w14:paraId="63B19FF2">
      <w:pPr>
        <w:spacing w:line="560"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提案编号：002</w:t>
      </w:r>
    </w:p>
    <w:p w14:paraId="50FF1779">
      <w:pPr>
        <w:spacing w:line="560" w:lineRule="exact"/>
        <w:ind w:left="1600" w:hanging="1600" w:hangingChars="500"/>
        <w:rPr>
          <w:rFonts w:ascii="楷体_GB2312" w:hAnsi="楷体_GB2312" w:eastAsia="楷体_GB2312" w:cs="楷体_GB2312"/>
          <w:sz w:val="32"/>
          <w:szCs w:val="32"/>
        </w:rPr>
      </w:pPr>
      <w:r>
        <w:rPr>
          <w:rFonts w:hint="eastAsia" w:ascii="楷体_GB2312" w:hAnsi="楷体_GB2312" w:eastAsia="楷体_GB2312" w:cs="楷体_GB2312"/>
          <w:sz w:val="32"/>
          <w:szCs w:val="32"/>
        </w:rPr>
        <w:t>提案名称：关于加强和美新区城市管理体制、提高精细化管理水平的提案</w:t>
      </w:r>
    </w:p>
    <w:p w14:paraId="1D6B6E18">
      <w:pPr>
        <w:spacing w:line="560"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人：刘建东</w:t>
      </w:r>
    </w:p>
    <w:p w14:paraId="5EEB6884">
      <w:pPr>
        <w:spacing w:line="560"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联系方式：13804769546</w:t>
      </w:r>
    </w:p>
    <w:p w14:paraId="16F4F296">
      <w:pPr>
        <w:spacing w:line="560"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提案界别：中国共产党</w:t>
      </w:r>
    </w:p>
    <w:p w14:paraId="520D4B5E">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关于加强和美新区城市管理体制、提高精细化管理水平的提案</w:t>
      </w:r>
    </w:p>
    <w:p w14:paraId="1FDA0775">
      <w:pPr>
        <w:spacing w:line="560" w:lineRule="exact"/>
        <w:ind w:firstLine="640" w:firstLineChars="200"/>
        <w:rPr>
          <w:rFonts w:ascii="黑体" w:hAnsi="黑体" w:eastAsia="黑体" w:cs="黑体"/>
          <w:sz w:val="32"/>
          <w:szCs w:val="32"/>
        </w:rPr>
      </w:pPr>
    </w:p>
    <w:p w14:paraId="13C07EC2">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14:paraId="5F7B3593">
      <w:pPr>
        <w:spacing w:line="560" w:lineRule="exact"/>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sz w:val="32"/>
          <w:szCs w:val="32"/>
        </w:rPr>
        <w:t>和美工贸园区于2009年3月开始建设，总规划面积35.7平方公里，沿锡伯河分为河西仓窖和河东陈营子两大片区。建成区面积达6平方公里，下设和美、和瑞2个社区。市政基础设施建设方面：建成临潢大街、应昌街、富河街等25条市政道路，通车里程达39.3公里。实施了机场路、富河街等重要道路的节点绿化，建成和美主题公园、薰衣草公园，园林景观绿化面积达58.17万平方米。建成商业面积155万平方米。房地产开发建设了百合田园、大洲陶然府、桃花源、翡翠城等16个高端住宅小区，配套住宅面积213万平米。目前已入住</w:t>
      </w:r>
      <w:r>
        <w:rPr>
          <w:rFonts w:hint="eastAsia" w:ascii="仿宋_GB2312" w:hAnsi="Times New Roman" w:eastAsia="仿宋_GB2312" w:cs="Times New Roman"/>
          <w:color w:val="000000"/>
          <w:sz w:val="32"/>
          <w:szCs w:val="32"/>
        </w:rPr>
        <w:t>入驻法人企业1454家，个体工商户2011家，成为喀喇沁旗经济发展重要增长极。</w:t>
      </w:r>
    </w:p>
    <w:p w14:paraId="6D6E08D8">
      <w:pPr>
        <w:spacing w:line="560" w:lineRule="exact"/>
        <w:ind w:firstLine="640" w:firstLineChars="200"/>
        <w:rPr>
          <w:rFonts w:ascii="仿宋_GB2312" w:hAnsi="Times New Roman" w:eastAsia="仿宋_GB2312" w:cs="Times New Roman"/>
          <w:color w:val="7030A0"/>
          <w:sz w:val="32"/>
          <w:szCs w:val="32"/>
        </w:rPr>
      </w:pPr>
      <w:r>
        <w:rPr>
          <w:rFonts w:hint="eastAsia" w:ascii="仿宋_GB2312" w:hAnsi="Times New Roman" w:eastAsia="仿宋_GB2312" w:cs="Times New Roman"/>
          <w:sz w:val="32"/>
          <w:szCs w:val="32"/>
        </w:rPr>
        <w:t>河西片区建成区面积6平方公里的城市管理工作，由旗城市管理综合行政执法局派驻和美新区综合执法大队进行管理，执法人员共计8名，其中</w:t>
      </w:r>
      <w:r>
        <w:rPr>
          <w:rFonts w:hint="eastAsia" w:ascii="仿宋_GB2312" w:hAnsi="仿宋" w:eastAsia="仿宋_GB2312" w:cs="仿宋"/>
          <w:sz w:val="32"/>
          <w:szCs w:val="32"/>
        </w:rPr>
        <w:t>3名在编，5名劳务派遣人员，执法车辆1台。管理范围为：北至海苏沟桥、东至锡伯河、南至家园路、西至馨泰家园海苏沟桥。</w:t>
      </w:r>
      <w:r>
        <w:rPr>
          <w:rFonts w:hint="eastAsia" w:ascii="仿宋_GB2312" w:hAnsi="Times New Roman" w:eastAsia="仿宋_GB2312" w:cs="Times New Roman"/>
          <w:sz w:val="32"/>
          <w:szCs w:val="32"/>
        </w:rPr>
        <w:t>主要职能职责为：市政、公用运行管理和执法；市容市貌管理和执法；环境卫生执法等方面的执法职责。</w:t>
      </w:r>
    </w:p>
    <w:p w14:paraId="48F86D07">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2022年以来，河东片区先后修建了和谐桥、和美桥、柳条沟桥等6座桥梁和西拉沐沦大街（河东六路-柳条沟河）、河东三路、铁南大街（河东三路-河东六路）、西外环路（西拉沐沦大街-铁南大街）4条城市道路，河东片区的建设拉大了新区城市框架，为和美园区经济发展奠定了基础。由于该片区位于牛家营子镇陈营子村，城市管理工作由牛家营子镇城管办管理，城管办现有工作人员3人，执法车辆1台。主要管理范围为：牛家营子镇主镇街区和辖区国道306、省道206、陈砬线等主要道路。主要职能职责为：人居环境卫生管理、镇容镇貌管理、公共秩序管理等工作。</w:t>
      </w:r>
    </w:p>
    <w:p w14:paraId="13EF22EF">
      <w:pPr>
        <w:spacing w:line="560" w:lineRule="exact"/>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sz w:val="32"/>
          <w:szCs w:val="32"/>
        </w:rPr>
        <w:t>现新区部分市政设施养护管理及维修已纳入中心城区一体化服务体系，由市住建局统一招标并签订养管护合同，新区与服务单位签订补充合同并对服务公司进行考核，近年来新区新建市政设施由新区直接管护。</w:t>
      </w:r>
    </w:p>
    <w:p w14:paraId="46D137D1">
      <w:pPr>
        <w:numPr>
          <w:ilvl w:val="0"/>
          <w:numId w:val="1"/>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存在问题</w:t>
      </w:r>
    </w:p>
    <w:p w14:paraId="0262878E">
      <w:pPr>
        <w:spacing w:line="560" w:lineRule="exact"/>
        <w:ind w:left="420" w:leftChars="200"/>
        <w:rPr>
          <w:rFonts w:ascii="仿宋_GB2312" w:hAnsi="仿宋" w:eastAsia="仿宋_GB2312" w:cs="仿宋"/>
          <w:sz w:val="32"/>
          <w:szCs w:val="32"/>
        </w:rPr>
      </w:pPr>
      <w:r>
        <w:rPr>
          <w:rFonts w:hint="eastAsia" w:ascii="仿宋_GB2312" w:hAnsi="黑体" w:eastAsia="仿宋_GB2312" w:cs="黑体"/>
          <w:sz w:val="32"/>
          <w:szCs w:val="32"/>
        </w:rPr>
        <w:t xml:space="preserve"> </w:t>
      </w:r>
      <w:r>
        <w:rPr>
          <w:rFonts w:hint="eastAsia" w:ascii="仿宋_GB2312" w:hAnsi="仿宋" w:eastAsia="仿宋_GB2312" w:cs="仿宋"/>
          <w:sz w:val="32"/>
          <w:szCs w:val="32"/>
        </w:rPr>
        <w:t>和美新区城市管理工作主要存在：“多头治水，各管一段”</w:t>
      </w:r>
    </w:p>
    <w:p w14:paraId="306823DB">
      <w:pPr>
        <w:spacing w:line="560" w:lineRule="exact"/>
        <w:rPr>
          <w:rFonts w:ascii="仿宋_GB2312" w:hAnsi="黑体" w:eastAsia="仿宋_GB2312" w:cs="黑体"/>
          <w:sz w:val="32"/>
          <w:szCs w:val="32"/>
        </w:rPr>
      </w:pPr>
      <w:r>
        <w:rPr>
          <w:rFonts w:hint="eastAsia" w:ascii="仿宋_GB2312" w:hAnsi="仿宋" w:eastAsia="仿宋_GB2312" w:cs="仿宋"/>
          <w:sz w:val="32"/>
          <w:szCs w:val="32"/>
        </w:rPr>
        <w:t>现象，无法进行整体有效高水平的管理。</w:t>
      </w:r>
    </w:p>
    <w:p w14:paraId="33316306">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bCs/>
          <w:sz w:val="32"/>
          <w:szCs w:val="32"/>
        </w:rPr>
        <w:t>（一）城市管理体制有待进一步理顺。</w:t>
      </w:r>
      <w:r>
        <w:rPr>
          <w:rFonts w:hint="eastAsia" w:ascii="Times New Roman" w:hAnsi="Times New Roman" w:eastAsia="仿宋_GB2312" w:cs="Times New Roman"/>
          <w:sz w:val="32"/>
          <w:szCs w:val="32"/>
        </w:rPr>
        <w:t>和美新区城市建设及市政设施养护由新区管理办公室负责，城市管理分别由和美执法大队和牛家营子镇城管办管理，存在建设管理两层皮，条块分割、难以协调的问题。</w:t>
      </w:r>
    </w:p>
    <w:p w14:paraId="386BA5FC">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bCs/>
          <w:sz w:val="32"/>
          <w:szCs w:val="32"/>
        </w:rPr>
        <w:t>（二）城市管理精细化水平有待提升。</w:t>
      </w:r>
      <w:r>
        <w:rPr>
          <w:rFonts w:hint="eastAsia" w:ascii="Times New Roman" w:hAnsi="Times New Roman" w:eastAsia="仿宋_GB2312" w:cs="Times New Roman"/>
          <w:sz w:val="32"/>
          <w:szCs w:val="32"/>
        </w:rPr>
        <w:t>对比中心城区，城市管理精细化程度存在差距，如临潢大街专业市场片区游商肆意占道经营、部分街路停车秩序不规范等现象，河东片区无法派驻专门巡查执法队员，导致该片区发生的破坏市政设施、堆弃等问题不能及时发现并处置。</w:t>
      </w:r>
    </w:p>
    <w:p w14:paraId="19B9A613">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bCs/>
          <w:sz w:val="32"/>
          <w:szCs w:val="32"/>
        </w:rPr>
        <w:t>（三）城市执法人员力量配备有待加强。</w:t>
      </w:r>
      <w:r>
        <w:rPr>
          <w:rFonts w:hint="eastAsia" w:ascii="Times New Roman" w:hAnsi="Times New Roman" w:eastAsia="仿宋_GB2312" w:cs="Times New Roman"/>
          <w:sz w:val="32"/>
          <w:szCs w:val="32"/>
        </w:rPr>
        <w:t>目前新区两支城市管理执法队伍，存在</w:t>
      </w:r>
      <w:r>
        <w:rPr>
          <w:rFonts w:ascii="Times New Roman" w:hAnsi="Times New Roman" w:eastAsia="仿宋_GB2312" w:cs="Times New Roman"/>
          <w:sz w:val="32"/>
          <w:szCs w:val="32"/>
        </w:rPr>
        <w:t>人员少、工作量大，</w:t>
      </w:r>
      <w:r>
        <w:rPr>
          <w:rFonts w:hint="eastAsia" w:ascii="Times New Roman" w:hAnsi="Times New Roman" w:eastAsia="仿宋_GB2312" w:cs="Times New Roman"/>
          <w:sz w:val="32"/>
          <w:szCs w:val="32"/>
        </w:rPr>
        <w:t>管理存在盲区的现象，且在</w:t>
      </w:r>
      <w:r>
        <w:rPr>
          <w:rFonts w:ascii="Times New Roman" w:hAnsi="Times New Roman" w:eastAsia="仿宋_GB2312" w:cs="Times New Roman"/>
          <w:sz w:val="32"/>
          <w:szCs w:val="32"/>
        </w:rPr>
        <w:t>人员专业性等</w:t>
      </w:r>
      <w:r>
        <w:rPr>
          <w:rFonts w:hint="eastAsia" w:ascii="Times New Roman" w:hAnsi="Times New Roman" w:eastAsia="仿宋_GB2312" w:cs="Times New Roman"/>
          <w:sz w:val="32"/>
          <w:szCs w:val="32"/>
        </w:rPr>
        <w:t>方面</w:t>
      </w:r>
      <w:r>
        <w:rPr>
          <w:rFonts w:ascii="Times New Roman" w:hAnsi="Times New Roman" w:eastAsia="仿宋_GB2312" w:cs="Times New Roman"/>
          <w:sz w:val="32"/>
          <w:szCs w:val="32"/>
        </w:rPr>
        <w:t>不能满足城市扩容</w:t>
      </w:r>
      <w:r>
        <w:rPr>
          <w:rFonts w:hint="eastAsia" w:ascii="Times New Roman" w:hAnsi="Times New Roman" w:eastAsia="仿宋_GB2312" w:cs="Times New Roman"/>
          <w:sz w:val="32"/>
          <w:szCs w:val="32"/>
        </w:rPr>
        <w:t>，城市</w:t>
      </w:r>
      <w:r>
        <w:rPr>
          <w:rFonts w:ascii="Times New Roman" w:hAnsi="Times New Roman" w:eastAsia="仿宋_GB2312" w:cs="Times New Roman"/>
          <w:sz w:val="32"/>
          <w:szCs w:val="32"/>
        </w:rPr>
        <w:t>管理服务</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需求</w:t>
      </w:r>
      <w:r>
        <w:rPr>
          <w:rFonts w:hint="eastAsia" w:ascii="Times New Roman" w:hAnsi="Times New Roman" w:eastAsia="仿宋_GB2312" w:cs="Times New Roman"/>
          <w:sz w:val="32"/>
          <w:szCs w:val="32"/>
        </w:rPr>
        <w:t>。</w:t>
      </w:r>
    </w:p>
    <w:p w14:paraId="7E74816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三、建议</w:t>
      </w:r>
    </w:p>
    <w:p w14:paraId="4344A932">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bCs/>
          <w:sz w:val="32"/>
          <w:szCs w:val="32"/>
        </w:rPr>
        <w:t>（一）优化城市管理体制。</w:t>
      </w:r>
      <w:r>
        <w:rPr>
          <w:rFonts w:hint="eastAsia" w:ascii="Times New Roman" w:hAnsi="Times New Roman" w:eastAsia="仿宋_GB2312" w:cs="Times New Roman"/>
          <w:sz w:val="32"/>
          <w:szCs w:val="32"/>
        </w:rPr>
        <w:t>建立统一管理的城市管理机构，实现一体化管理，明确执法职责和权限，减少管理上的推诿扯皮现象发生。</w:t>
      </w:r>
    </w:p>
    <w:p w14:paraId="3F39695A">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bCs/>
          <w:sz w:val="32"/>
          <w:szCs w:val="32"/>
        </w:rPr>
        <w:t>（二）加强精细化管理的力度。</w:t>
      </w:r>
      <w:r>
        <w:rPr>
          <w:rFonts w:hint="eastAsia" w:ascii="Times New Roman" w:hAnsi="Times New Roman" w:eastAsia="仿宋_GB2312" w:cs="Times New Roman"/>
          <w:sz w:val="32"/>
          <w:szCs w:val="32"/>
        </w:rPr>
        <w:t>对标中心城区城市管理水平，完善执法巡查体系，确保及时发现问题进行处置。针对城市精细化管理中存在游商散贩、户外广告、车辆停放等问题，制定专项解决方案，明确治理目标、措施和期限，确保问题得到妥善处理。</w:t>
      </w:r>
    </w:p>
    <w:p w14:paraId="49892562">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bCs/>
          <w:sz w:val="32"/>
          <w:szCs w:val="32"/>
        </w:rPr>
        <w:t>（三）加强执法力量建设。</w:t>
      </w:r>
      <w:r>
        <w:rPr>
          <w:rFonts w:hint="eastAsia" w:ascii="Times New Roman" w:hAnsi="Times New Roman" w:eastAsia="仿宋_GB2312" w:cs="Times New Roman"/>
          <w:sz w:val="32"/>
          <w:szCs w:val="32"/>
        </w:rPr>
        <w:t>随着城市化进程的加快和相对集中行政处罚权工作的深化，城管执法工作面临着管控区域扩大、管理人口增加、执法标准提高等新情况新问题，尤其在队伍管理建设上所凸显的矛盾已越来越成为实现城市管理精细化和民生需求多元化的瓶颈，急需加强执法人员力量配备和提高专业化执法水平。</w:t>
      </w:r>
    </w:p>
    <w:p w14:paraId="0A432E6F">
      <w:pPr>
        <w:spacing w:line="560" w:lineRule="exact"/>
        <w:ind w:firstLine="640" w:firstLineChars="200"/>
        <w:rPr>
          <w:rFonts w:ascii="Times New Roman" w:hAnsi="Times New Roman" w:eastAsia="仿宋_GB2312" w:cs="Times New Roman"/>
          <w:sz w:val="32"/>
          <w:szCs w:val="32"/>
        </w:rPr>
      </w:pPr>
    </w:p>
    <w:p w14:paraId="6A8E4453">
      <w:pPr>
        <w:spacing w:line="560" w:lineRule="exact"/>
        <w:jc w:val="left"/>
        <w:rPr>
          <w:rFonts w:ascii="楷体_GB2312" w:hAnsi="楷体_GB2312" w:eastAsia="楷体_GB2312" w:cs="楷体_GB2312"/>
          <w:sz w:val="32"/>
          <w:szCs w:val="32"/>
        </w:rPr>
      </w:pPr>
    </w:p>
    <w:p w14:paraId="2F857AAA">
      <w:pPr>
        <w:spacing w:line="560" w:lineRule="exact"/>
        <w:jc w:val="left"/>
        <w:rPr>
          <w:rFonts w:ascii="楷体_GB2312" w:hAnsi="楷体_GB2312" w:eastAsia="楷体_GB2312" w:cs="楷体_GB2312"/>
          <w:sz w:val="32"/>
          <w:szCs w:val="32"/>
        </w:rPr>
      </w:pPr>
    </w:p>
    <w:p w14:paraId="218ECF23">
      <w:pPr>
        <w:spacing w:line="560" w:lineRule="exact"/>
        <w:jc w:val="left"/>
        <w:rPr>
          <w:rFonts w:ascii="楷体_GB2312" w:hAnsi="楷体_GB2312" w:eastAsia="楷体_GB2312" w:cs="楷体_GB2312"/>
          <w:sz w:val="32"/>
          <w:szCs w:val="32"/>
        </w:rPr>
      </w:pPr>
    </w:p>
    <w:p w14:paraId="01C24B79">
      <w:pPr>
        <w:spacing w:line="560" w:lineRule="exact"/>
        <w:jc w:val="left"/>
        <w:rPr>
          <w:rFonts w:ascii="楷体_GB2312" w:hAnsi="楷体_GB2312" w:eastAsia="楷体_GB2312" w:cs="楷体_GB2312"/>
          <w:sz w:val="32"/>
          <w:szCs w:val="32"/>
        </w:rPr>
      </w:pPr>
    </w:p>
    <w:p w14:paraId="6B320934">
      <w:pPr>
        <w:spacing w:line="560" w:lineRule="exact"/>
        <w:jc w:val="left"/>
        <w:rPr>
          <w:rFonts w:ascii="楷体_GB2312" w:hAnsi="楷体_GB2312" w:eastAsia="楷体_GB2312" w:cs="楷体_GB2312"/>
          <w:sz w:val="32"/>
          <w:szCs w:val="32"/>
        </w:rPr>
      </w:pPr>
    </w:p>
    <w:p w14:paraId="1D7BE260">
      <w:pPr>
        <w:spacing w:line="560" w:lineRule="exact"/>
        <w:jc w:val="left"/>
        <w:rPr>
          <w:rFonts w:ascii="楷体_GB2312" w:hAnsi="楷体_GB2312" w:eastAsia="楷体_GB2312" w:cs="楷体_GB2312"/>
          <w:sz w:val="32"/>
          <w:szCs w:val="32"/>
        </w:rPr>
      </w:pPr>
    </w:p>
    <w:p w14:paraId="3BD214C7">
      <w:pPr>
        <w:spacing w:line="560" w:lineRule="exact"/>
        <w:jc w:val="left"/>
        <w:rPr>
          <w:rFonts w:ascii="楷体_GB2312" w:hAnsi="楷体_GB2312" w:eastAsia="楷体_GB2312" w:cs="楷体_GB2312"/>
          <w:sz w:val="32"/>
          <w:szCs w:val="32"/>
        </w:rPr>
      </w:pPr>
    </w:p>
    <w:p w14:paraId="41F76D68">
      <w:pPr>
        <w:spacing w:line="560" w:lineRule="exact"/>
        <w:jc w:val="left"/>
        <w:rPr>
          <w:rFonts w:ascii="楷体_GB2312" w:hAnsi="楷体_GB2312" w:eastAsia="楷体_GB2312" w:cs="楷体_GB2312"/>
          <w:sz w:val="32"/>
          <w:szCs w:val="32"/>
        </w:rPr>
      </w:pPr>
    </w:p>
    <w:p w14:paraId="1A46669E">
      <w:pPr>
        <w:spacing w:line="560" w:lineRule="exact"/>
        <w:jc w:val="left"/>
        <w:rPr>
          <w:rFonts w:ascii="楷体_GB2312" w:hAnsi="楷体_GB2312" w:eastAsia="楷体_GB2312" w:cs="楷体_GB2312"/>
          <w:sz w:val="32"/>
          <w:szCs w:val="32"/>
        </w:rPr>
      </w:pPr>
    </w:p>
    <w:p w14:paraId="7AED4BAE">
      <w:pPr>
        <w:spacing w:line="560" w:lineRule="exact"/>
        <w:jc w:val="left"/>
        <w:rPr>
          <w:rFonts w:ascii="楷体_GB2312" w:hAnsi="楷体_GB2312" w:eastAsia="楷体_GB2312" w:cs="楷体_GB2312"/>
          <w:sz w:val="32"/>
          <w:szCs w:val="32"/>
        </w:rPr>
      </w:pPr>
    </w:p>
    <w:p w14:paraId="74A74C61">
      <w:pPr>
        <w:spacing w:line="560" w:lineRule="exact"/>
        <w:jc w:val="left"/>
        <w:rPr>
          <w:rFonts w:ascii="楷体_GB2312" w:hAnsi="楷体_GB2312" w:eastAsia="楷体_GB2312" w:cs="楷体_GB2312"/>
          <w:sz w:val="32"/>
          <w:szCs w:val="32"/>
        </w:rPr>
      </w:pPr>
    </w:p>
    <w:p w14:paraId="540A5D6C">
      <w:pPr>
        <w:spacing w:line="560" w:lineRule="exact"/>
        <w:jc w:val="left"/>
        <w:rPr>
          <w:rFonts w:ascii="楷体_GB2312" w:hAnsi="楷体_GB2312" w:eastAsia="楷体_GB2312" w:cs="楷体_GB2312"/>
          <w:sz w:val="32"/>
          <w:szCs w:val="32"/>
        </w:rPr>
      </w:pPr>
    </w:p>
    <w:p w14:paraId="30B22392">
      <w:pPr>
        <w:spacing w:line="560" w:lineRule="exact"/>
        <w:jc w:val="left"/>
        <w:rPr>
          <w:rFonts w:ascii="楷体_GB2312" w:hAnsi="楷体_GB2312" w:eastAsia="楷体_GB2312" w:cs="楷体_GB2312"/>
          <w:sz w:val="32"/>
          <w:szCs w:val="32"/>
        </w:rPr>
      </w:pPr>
    </w:p>
    <w:p w14:paraId="0BE6A1EB">
      <w:pPr>
        <w:spacing w:line="560" w:lineRule="exact"/>
        <w:jc w:val="left"/>
        <w:rPr>
          <w:rFonts w:ascii="楷体_GB2312" w:hAnsi="楷体_GB2312" w:eastAsia="楷体_GB2312" w:cs="楷体_GB2312"/>
          <w:sz w:val="32"/>
          <w:szCs w:val="32"/>
        </w:rPr>
      </w:pPr>
    </w:p>
    <w:p w14:paraId="478CEA88">
      <w:pPr>
        <w:spacing w:line="560" w:lineRule="exact"/>
        <w:jc w:val="left"/>
        <w:rPr>
          <w:rFonts w:ascii="楷体_GB2312" w:hAnsi="楷体_GB2312" w:eastAsia="楷体_GB2312" w:cs="楷体_GB2312"/>
          <w:sz w:val="32"/>
          <w:szCs w:val="32"/>
        </w:rPr>
      </w:pPr>
    </w:p>
    <w:p w14:paraId="6E0C5D57">
      <w:pPr>
        <w:spacing w:line="560" w:lineRule="exact"/>
        <w:jc w:val="left"/>
        <w:rPr>
          <w:rFonts w:ascii="楷体_GB2312" w:hAnsi="楷体_GB2312" w:eastAsia="楷体_GB2312" w:cs="楷体_GB2312"/>
          <w:sz w:val="32"/>
          <w:szCs w:val="32"/>
        </w:rPr>
      </w:pPr>
    </w:p>
    <w:p w14:paraId="19A4BA9A">
      <w:pPr>
        <w:spacing w:line="560" w:lineRule="exact"/>
        <w:jc w:val="left"/>
        <w:rPr>
          <w:rFonts w:ascii="楷体_GB2312" w:hAnsi="楷体_GB2312" w:eastAsia="楷体_GB2312" w:cs="楷体_GB2312"/>
          <w:sz w:val="32"/>
          <w:szCs w:val="32"/>
        </w:rPr>
      </w:pPr>
    </w:p>
    <w:p w14:paraId="5FBFE111">
      <w:pPr>
        <w:spacing w:line="560" w:lineRule="exact"/>
        <w:jc w:val="left"/>
        <w:rPr>
          <w:rFonts w:ascii="楷体_GB2312" w:hAnsi="楷体_GB2312" w:eastAsia="楷体_GB2312" w:cs="楷体_GB2312"/>
          <w:sz w:val="32"/>
          <w:szCs w:val="32"/>
        </w:rPr>
      </w:pPr>
    </w:p>
    <w:p w14:paraId="09A65CDE">
      <w:pPr>
        <w:spacing w:line="560" w:lineRule="exact"/>
        <w:jc w:val="left"/>
        <w:rPr>
          <w:rFonts w:ascii="楷体_GB2312" w:hAnsi="楷体_GB2312" w:eastAsia="楷体_GB2312" w:cs="楷体_GB2312"/>
          <w:sz w:val="32"/>
          <w:szCs w:val="32"/>
        </w:rPr>
      </w:pPr>
    </w:p>
    <w:p w14:paraId="099BB7B0">
      <w:pPr>
        <w:spacing w:line="560" w:lineRule="exact"/>
        <w:jc w:val="left"/>
        <w:rPr>
          <w:rFonts w:ascii="楷体_GB2312" w:hAnsi="楷体_GB2312" w:eastAsia="楷体_GB2312" w:cs="楷体_GB2312"/>
          <w:sz w:val="32"/>
          <w:szCs w:val="32"/>
        </w:rPr>
      </w:pPr>
    </w:p>
    <w:p w14:paraId="3EBB17D7">
      <w:pPr>
        <w:spacing w:line="560" w:lineRule="exact"/>
        <w:jc w:val="left"/>
        <w:rPr>
          <w:rFonts w:ascii="楷体_GB2312" w:hAnsi="楷体_GB2312" w:eastAsia="楷体_GB2312" w:cs="楷体_GB2312"/>
          <w:sz w:val="32"/>
          <w:szCs w:val="32"/>
        </w:rPr>
      </w:pPr>
    </w:p>
    <w:p w14:paraId="4AD190C4">
      <w:pPr>
        <w:spacing w:line="560" w:lineRule="exact"/>
        <w:jc w:val="left"/>
        <w:rPr>
          <w:rFonts w:ascii="楷体_GB2312" w:hAnsi="楷体_GB2312" w:eastAsia="楷体_GB2312" w:cs="楷体_GB2312"/>
          <w:sz w:val="32"/>
          <w:szCs w:val="32"/>
        </w:rPr>
      </w:pPr>
    </w:p>
    <w:p w14:paraId="4A4CBE13">
      <w:pPr>
        <w:spacing w:line="560" w:lineRule="exact"/>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提案编号:003</w:t>
      </w:r>
    </w:p>
    <w:p w14:paraId="6CBBB836">
      <w:pPr>
        <w:pStyle w:val="11"/>
        <w:widowControl/>
        <w:shd w:val="clear" w:color="auto" w:fill="FFFFFF"/>
        <w:snapToGrid w:val="0"/>
        <w:spacing w:line="560" w:lineRule="exact"/>
        <w:rPr>
          <w:rFonts w:ascii="楷体_GB2312" w:hAnsi="方正小标宋简体" w:eastAsia="楷体_GB2312" w:cs="方正小标宋简体"/>
          <w:color w:val="000000"/>
          <w:sz w:val="32"/>
          <w:szCs w:val="32"/>
          <w:shd w:val="clear" w:color="auto" w:fill="FFFFFF"/>
        </w:rPr>
      </w:pPr>
      <w:r>
        <w:rPr>
          <w:rFonts w:hint="eastAsia" w:ascii="楷体_GB2312" w:hAnsi="楷体_GB2312" w:eastAsia="楷体_GB2312" w:cs="楷体_GB2312"/>
          <w:sz w:val="32"/>
          <w:szCs w:val="32"/>
        </w:rPr>
        <w:t>提案名称:</w:t>
      </w:r>
      <w:r>
        <w:rPr>
          <w:rFonts w:hint="eastAsia" w:ascii="楷体_GB2312" w:hAnsi="方正小标宋简体" w:eastAsia="楷体_GB2312" w:cs="方正小标宋简体"/>
          <w:color w:val="000000"/>
          <w:sz w:val="32"/>
          <w:szCs w:val="32"/>
          <w:shd w:val="clear" w:color="auto" w:fill="FFFFFF"/>
        </w:rPr>
        <w:t>关于加强年轻一代民营企业家队伍建设的提案</w:t>
      </w:r>
    </w:p>
    <w:p w14:paraId="688FD34B">
      <w:pPr>
        <w:spacing w:line="560" w:lineRule="exact"/>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人:刘英杰</w:t>
      </w:r>
    </w:p>
    <w:p w14:paraId="4B2C61B7">
      <w:pPr>
        <w:spacing w:line="560" w:lineRule="exact"/>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w:t>
      </w:r>
      <w:r>
        <w:rPr>
          <w:rFonts w:ascii="楷体_GB2312" w:hAnsi="楷体_GB2312" w:eastAsia="楷体_GB2312" w:cs="楷体_GB2312"/>
          <w:sz w:val="32"/>
          <w:szCs w:val="32"/>
        </w:rPr>
        <w:t>13848993126</w:t>
      </w:r>
    </w:p>
    <w:p w14:paraId="31F64976">
      <w:pPr>
        <w:spacing w:line="560" w:lineRule="exact"/>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界    别:中国共产党</w:t>
      </w:r>
    </w:p>
    <w:p w14:paraId="4B76CE40">
      <w:pPr>
        <w:pStyle w:val="11"/>
        <w:widowControl/>
        <w:shd w:val="clear" w:color="auto" w:fill="FFFFFF"/>
        <w:snapToGrid w:val="0"/>
        <w:spacing w:line="560" w:lineRule="exact"/>
        <w:jc w:val="center"/>
        <w:rPr>
          <w:rFonts w:ascii="方正小标宋简体" w:hAnsi="方正小标宋简体" w:eastAsia="方正小标宋简体" w:cs="方正小标宋简体"/>
          <w:color w:val="000000"/>
          <w:sz w:val="44"/>
          <w:szCs w:val="44"/>
          <w:shd w:val="clear" w:color="auto" w:fill="FFFFFF"/>
        </w:rPr>
      </w:pPr>
      <w:r>
        <w:rPr>
          <w:rFonts w:hint="eastAsia" w:ascii="方正小标宋简体" w:hAnsi="方正小标宋简体" w:eastAsia="方正小标宋简体" w:cs="方正小标宋简体"/>
          <w:color w:val="000000"/>
          <w:sz w:val="44"/>
          <w:szCs w:val="44"/>
          <w:shd w:val="clear" w:color="auto" w:fill="FFFFFF"/>
        </w:rPr>
        <w:t>关于加强年轻一代民营企业家队伍建设的提案</w:t>
      </w:r>
    </w:p>
    <w:p w14:paraId="3118F459">
      <w:pPr>
        <w:pStyle w:val="11"/>
        <w:widowControl/>
        <w:shd w:val="clear" w:color="auto" w:fill="FFFFFF"/>
        <w:spacing w:before="156" w:beforeLines="50" w:after="156" w:afterLines="50" w:line="560" w:lineRule="exact"/>
        <w:jc w:val="center"/>
        <w:rPr>
          <w:rFonts w:ascii="Times New Roman" w:hAnsi="Times New Roman"/>
          <w:color w:val="000000"/>
          <w:sz w:val="32"/>
          <w:szCs w:val="32"/>
          <w:shd w:val="clear" w:color="auto" w:fill="FFFFFF"/>
        </w:rPr>
      </w:pPr>
    </w:p>
    <w:p w14:paraId="2E4CBE20">
      <w:pPr>
        <w:pStyle w:val="11"/>
        <w:shd w:val="clear" w:color="auto" w:fill="FFFFFF"/>
        <w:snapToGrid w:val="0"/>
        <w:spacing w:line="560" w:lineRule="exact"/>
        <w:ind w:firstLine="640" w:firstLineChars="200"/>
        <w:jc w:val="both"/>
        <w:rPr>
          <w:rFonts w:ascii="仿宋_GB2312" w:hAnsi="Times New Roman" w:eastAsia="仿宋_GB2312"/>
          <w:snapToGrid w:val="0"/>
          <w:kern w:val="2"/>
          <w:sz w:val="32"/>
          <w:szCs w:val="32"/>
        </w:rPr>
      </w:pPr>
      <w:r>
        <w:rPr>
          <w:rFonts w:hint="eastAsia" w:ascii="仿宋_GB2312" w:hAnsi="Times New Roman" w:eastAsia="仿宋_GB2312"/>
          <w:snapToGrid w:val="0"/>
          <w:kern w:val="2"/>
          <w:sz w:val="32"/>
          <w:szCs w:val="32"/>
        </w:rPr>
        <w:t>近年来，喀喇沁旗委、政府认真贯彻落实上三级有关扶持营经济发展的政策，出台相关措施，促进民营经济稳步前进。截至目前，全旗各类民营经济市场主体达19604户，从业人员达到4.9万人。民营经济代表人士社会影响力日益扩大，民营企业中旗级人大代表22人，占全旗人大代表10.78%；政协委员66人，占全旗政协委员37.5%。从年龄结构来看，80后已成为新生代民营企业家的主力军，90后逐渐涌现。加强对年轻一代民营企业家的政治引领，激发他们的内生活力，努力培育“政治上有方向、经营上有本事、责任上有担当”的高素质年轻一代民营企业家队伍，对全旗经济社会高质量发展具有深远影响。</w:t>
      </w:r>
    </w:p>
    <w:p w14:paraId="5EC8AE20">
      <w:pPr>
        <w:pStyle w:val="11"/>
        <w:shd w:val="clear" w:color="auto" w:fill="FFFFFF"/>
        <w:snapToGrid w:val="0"/>
        <w:spacing w:line="560" w:lineRule="exact"/>
        <w:jc w:val="both"/>
        <w:rPr>
          <w:rFonts w:ascii="Times New Roman" w:hAnsi="Times New Roman" w:eastAsia="黑体"/>
          <w:snapToGrid w:val="0"/>
          <w:kern w:val="2"/>
          <w:sz w:val="32"/>
          <w:szCs w:val="32"/>
        </w:rPr>
      </w:pPr>
      <w:r>
        <w:rPr>
          <w:rFonts w:ascii="Times New Roman" w:hAnsi="Times New Roman" w:eastAsia="黑体"/>
          <w:snapToGrid w:val="0"/>
          <w:kern w:val="2"/>
          <w:sz w:val="32"/>
          <w:szCs w:val="32"/>
        </w:rPr>
        <w:t>一、存在问题</w:t>
      </w:r>
    </w:p>
    <w:p w14:paraId="24071259">
      <w:pPr>
        <w:pStyle w:val="11"/>
        <w:shd w:val="clear" w:color="auto" w:fill="FFFFFF"/>
        <w:snapToGrid w:val="0"/>
        <w:spacing w:line="560" w:lineRule="exact"/>
        <w:ind w:firstLine="320" w:firstLineChars="100"/>
        <w:jc w:val="both"/>
        <w:rPr>
          <w:rFonts w:ascii="仿宋_GB2312" w:hAnsi="Times New Roman" w:eastAsia="仿宋_GB2312"/>
          <w:snapToGrid w:val="0"/>
          <w:kern w:val="2"/>
          <w:sz w:val="32"/>
          <w:szCs w:val="32"/>
        </w:rPr>
      </w:pPr>
      <w:r>
        <w:rPr>
          <w:rFonts w:hint="eastAsia" w:ascii="楷体_GB2312" w:hAnsi="Times New Roman" w:eastAsia="楷体_GB2312"/>
          <w:snapToGrid w:val="0"/>
          <w:kern w:val="2"/>
          <w:sz w:val="32"/>
          <w:szCs w:val="32"/>
        </w:rPr>
        <w:t>（一）政治参与意识较强，但明显带有经济目的性。</w:t>
      </w:r>
      <w:r>
        <w:rPr>
          <w:rFonts w:hint="eastAsia" w:ascii="仿宋_GB2312" w:hAnsi="Times New Roman" w:eastAsia="仿宋_GB2312"/>
          <w:snapToGrid w:val="0"/>
          <w:kern w:val="2"/>
          <w:sz w:val="32"/>
          <w:szCs w:val="32"/>
        </w:rPr>
        <w:t>年轻一代</w:t>
      </w:r>
      <w:r>
        <w:rPr>
          <w:rFonts w:hint="eastAsia" w:ascii="仿宋_GB2312" w:hAnsi="Times New Roman" w:eastAsia="仿宋_GB2312"/>
          <w:snapToGrid w:val="0"/>
          <w:kern w:val="2"/>
          <w:sz w:val="32"/>
          <w:szCs w:val="32"/>
          <w:lang w:val="en"/>
        </w:rPr>
        <w:t>民营企业家</w:t>
      </w:r>
      <w:r>
        <w:rPr>
          <w:rFonts w:hint="eastAsia" w:ascii="仿宋_GB2312" w:hAnsi="Times New Roman" w:eastAsia="仿宋_GB2312"/>
          <w:snapToGrid w:val="0"/>
          <w:kern w:val="2"/>
          <w:sz w:val="32"/>
          <w:szCs w:val="32"/>
        </w:rPr>
        <w:t>政治情感丰富，政治参与意愿较为强烈，关注党委政府中心工作及社会保障、教育、医疗、环保等社会问题，乐于参与政府部门组织的各种活动，注重人脉关系积累，希望通过参加各类组织活动结交政府和商圈朋友，为企业发展奠定坚实的社会基础。总体而言，这种参与更多的还是从个体利益尤其是经济利益角度来考量，而不是基于一个公民所具有的公共理念与社会责任的自觉参与，诉求表达也带有个体性和分散性的特点。</w:t>
      </w:r>
    </w:p>
    <w:p w14:paraId="43D76C20">
      <w:pPr>
        <w:pStyle w:val="11"/>
        <w:shd w:val="clear" w:color="auto" w:fill="FFFFFF"/>
        <w:snapToGrid w:val="0"/>
        <w:spacing w:line="560" w:lineRule="exact"/>
        <w:ind w:firstLine="640" w:firstLineChars="200"/>
        <w:jc w:val="both"/>
        <w:rPr>
          <w:rFonts w:ascii="仿宋_GB2312" w:hAnsi="Times New Roman" w:eastAsia="仿宋_GB2312"/>
          <w:snapToGrid w:val="0"/>
          <w:kern w:val="2"/>
          <w:sz w:val="32"/>
          <w:szCs w:val="32"/>
        </w:rPr>
      </w:pPr>
      <w:r>
        <w:rPr>
          <w:rFonts w:hint="eastAsia" w:ascii="楷体_GB2312" w:hAnsi="Times New Roman" w:eastAsia="楷体_GB2312"/>
          <w:snapToGrid w:val="0"/>
          <w:kern w:val="2"/>
          <w:sz w:val="32"/>
          <w:szCs w:val="32"/>
        </w:rPr>
        <w:t>（二）受教育程度较高，但价值观念多元化。</w:t>
      </w:r>
      <w:r>
        <w:rPr>
          <w:rFonts w:hint="eastAsia" w:ascii="仿宋_GB2312" w:hAnsi="Times New Roman" w:eastAsia="仿宋_GB2312"/>
          <w:snapToGrid w:val="0"/>
          <w:kern w:val="2"/>
          <w:sz w:val="32"/>
          <w:szCs w:val="32"/>
        </w:rPr>
        <w:t>年轻一代</w:t>
      </w:r>
      <w:r>
        <w:rPr>
          <w:rFonts w:hint="eastAsia" w:ascii="仿宋_GB2312" w:hAnsi="Times New Roman" w:eastAsia="仿宋_GB2312"/>
          <w:snapToGrid w:val="0"/>
          <w:kern w:val="2"/>
          <w:sz w:val="32"/>
          <w:szCs w:val="32"/>
          <w:lang w:val="en"/>
        </w:rPr>
        <w:t>民营企业家</w:t>
      </w:r>
      <w:r>
        <w:rPr>
          <w:rFonts w:hint="eastAsia" w:ascii="仿宋_GB2312" w:hAnsi="Times New Roman" w:eastAsia="仿宋_GB2312"/>
          <w:snapToGrid w:val="0"/>
          <w:kern w:val="2"/>
          <w:sz w:val="32"/>
          <w:szCs w:val="32"/>
        </w:rPr>
        <w:t xml:space="preserve">出生、成长在改革开放新时期，普遍受过高等教育，拥有大学本科及以上学历，部分人有出国留学经历，尤其是受当今多元化、碎片化为主要特征的微文化的存在与影响，生活方式多样、价值观念和价值取向多元，思想多变。  </w:t>
      </w:r>
    </w:p>
    <w:p w14:paraId="212FE9AF">
      <w:pPr>
        <w:pStyle w:val="11"/>
        <w:shd w:val="clear" w:color="auto" w:fill="FFFFFF"/>
        <w:snapToGrid w:val="0"/>
        <w:spacing w:line="560" w:lineRule="exact"/>
        <w:ind w:firstLine="640" w:firstLineChars="200"/>
        <w:jc w:val="both"/>
        <w:rPr>
          <w:rFonts w:ascii="仿宋_GB2312" w:hAnsi="Times New Roman" w:eastAsia="仿宋_GB2312"/>
          <w:snapToGrid w:val="0"/>
          <w:kern w:val="2"/>
          <w:sz w:val="32"/>
          <w:szCs w:val="32"/>
        </w:rPr>
      </w:pPr>
      <w:r>
        <w:rPr>
          <w:rFonts w:hint="eastAsia" w:ascii="楷体_GB2312" w:hAnsi="Times New Roman" w:eastAsia="楷体_GB2312"/>
          <w:snapToGrid w:val="0"/>
          <w:kern w:val="2"/>
          <w:sz w:val="32"/>
          <w:szCs w:val="32"/>
        </w:rPr>
        <w:t>（三）规则意识较强，但社会责任意识相对淡化。</w:t>
      </w:r>
      <w:r>
        <w:rPr>
          <w:rFonts w:hint="eastAsia" w:ascii="仿宋_GB2312" w:hAnsi="Times New Roman" w:eastAsia="仿宋_GB2312"/>
          <w:snapToGrid w:val="0"/>
          <w:kern w:val="2"/>
          <w:sz w:val="32"/>
          <w:szCs w:val="32"/>
        </w:rPr>
        <w:t>年轻一代</w:t>
      </w:r>
      <w:r>
        <w:rPr>
          <w:rFonts w:hint="eastAsia" w:ascii="仿宋_GB2312" w:hAnsi="Times New Roman" w:eastAsia="仿宋_GB2312"/>
          <w:snapToGrid w:val="0"/>
          <w:kern w:val="2"/>
          <w:sz w:val="32"/>
          <w:szCs w:val="32"/>
          <w:lang w:val="en"/>
        </w:rPr>
        <w:t>民营企业家</w:t>
      </w:r>
      <w:r>
        <w:rPr>
          <w:rFonts w:hint="eastAsia" w:ascii="仿宋_GB2312" w:hAnsi="Times New Roman" w:eastAsia="仿宋_GB2312"/>
          <w:snapToGrid w:val="0"/>
          <w:kern w:val="2"/>
          <w:sz w:val="32"/>
          <w:szCs w:val="32"/>
        </w:rPr>
        <w:t>更加注重运用现代企业制度经营企业，高度认同依法依规办事，尊重契约、崇尚规则、信奉法律，在经营决策、人力资源等方面推进制度建设和精细化管理。但同时，他们对国家富强、企业发展与个人富裕之间内在关系的深层认识还有不足，需要引导他们建立社会主义核心价值观。</w:t>
      </w:r>
    </w:p>
    <w:p w14:paraId="5ECC86AE">
      <w:pPr>
        <w:pStyle w:val="11"/>
        <w:shd w:val="clear" w:color="auto" w:fill="FFFFFF"/>
        <w:snapToGrid w:val="0"/>
        <w:spacing w:line="560" w:lineRule="exact"/>
        <w:jc w:val="both"/>
        <w:rPr>
          <w:rFonts w:ascii="Times New Roman" w:hAnsi="Times New Roman" w:eastAsia="黑体"/>
          <w:snapToGrid w:val="0"/>
          <w:kern w:val="2"/>
          <w:sz w:val="32"/>
          <w:szCs w:val="32"/>
        </w:rPr>
      </w:pPr>
      <w:r>
        <w:rPr>
          <w:rFonts w:ascii="Times New Roman" w:hAnsi="Times New Roman" w:eastAsia="黑体"/>
          <w:snapToGrid w:val="0"/>
          <w:kern w:val="2"/>
          <w:sz w:val="32"/>
          <w:szCs w:val="32"/>
        </w:rPr>
        <w:t>二、对策建议</w:t>
      </w:r>
    </w:p>
    <w:p w14:paraId="1AC52A83">
      <w:pPr>
        <w:pStyle w:val="11"/>
        <w:shd w:val="clear" w:color="auto" w:fill="FFFFFF"/>
        <w:snapToGrid w:val="0"/>
        <w:spacing w:line="560" w:lineRule="exact"/>
        <w:ind w:firstLine="640" w:firstLineChars="200"/>
        <w:jc w:val="both"/>
        <w:rPr>
          <w:rFonts w:ascii="仿宋_GB2312" w:hAnsi="Times New Roman" w:eastAsia="仿宋_GB2312"/>
          <w:snapToGrid w:val="0"/>
          <w:kern w:val="2"/>
          <w:sz w:val="32"/>
          <w:szCs w:val="32"/>
        </w:rPr>
      </w:pPr>
      <w:r>
        <w:rPr>
          <w:rFonts w:hint="eastAsia" w:ascii="楷体_GB2312" w:hAnsi="Times New Roman" w:eastAsia="楷体_GB2312"/>
          <w:snapToGrid w:val="0"/>
          <w:kern w:val="2"/>
          <w:sz w:val="32"/>
          <w:szCs w:val="32"/>
        </w:rPr>
        <w:t>（一）加强教育培训，提高整体素质。</w:t>
      </w:r>
      <w:r>
        <w:rPr>
          <w:rFonts w:hint="eastAsia" w:ascii="仿宋_GB2312" w:hAnsi="Times New Roman" w:eastAsia="仿宋_GB2312"/>
          <w:snapToGrid w:val="0"/>
          <w:kern w:val="2"/>
          <w:sz w:val="32"/>
          <w:szCs w:val="32"/>
        </w:rPr>
        <w:t>一是加强理论引导。坚持实事求是、客观公正，把握好正确舆论导向，引导社会正确认识民营经济的重大贡献和重要作用，正确看待年轻一代</w:t>
      </w:r>
      <w:r>
        <w:rPr>
          <w:rFonts w:hint="eastAsia" w:ascii="仿宋_GB2312" w:hAnsi="Times New Roman" w:eastAsia="仿宋_GB2312"/>
          <w:snapToGrid w:val="0"/>
          <w:kern w:val="2"/>
          <w:sz w:val="32"/>
          <w:szCs w:val="32"/>
          <w:lang w:val="en"/>
        </w:rPr>
        <w:t>民营企业家</w:t>
      </w:r>
      <w:r>
        <w:rPr>
          <w:rFonts w:hint="eastAsia" w:ascii="仿宋_GB2312" w:hAnsi="Times New Roman" w:eastAsia="仿宋_GB2312"/>
          <w:snapToGrid w:val="0"/>
          <w:kern w:val="2"/>
          <w:sz w:val="32"/>
          <w:szCs w:val="32"/>
        </w:rPr>
        <w:t>通过合法合规经营获得的财富。</w:t>
      </w:r>
      <w:r>
        <w:rPr>
          <w:rFonts w:hint="eastAsia" w:ascii="仿宋_GB2312" w:hAnsi="Times New Roman" w:eastAsia="仿宋_GB2312"/>
          <w:snapToGrid w:val="0"/>
          <w:kern w:val="2"/>
          <w:sz w:val="32"/>
          <w:szCs w:val="32"/>
          <w:lang w:val="en"/>
        </w:rPr>
        <w:t xml:space="preserve"> 二是</w:t>
      </w:r>
      <w:r>
        <w:rPr>
          <w:rFonts w:hint="eastAsia" w:ascii="仿宋_GB2312" w:hAnsi="Times New Roman" w:eastAsia="仿宋_GB2312"/>
          <w:snapToGrid w:val="0"/>
          <w:kern w:val="2"/>
          <w:sz w:val="32"/>
          <w:szCs w:val="32"/>
        </w:rPr>
        <w:t>注重组织规划。建立旗委统一领导，统战部牵头，工信、科技、金融、工商联等多部门共同参与、各司其职、密切配合、齐抓共管的教育培训工作的“大统战”工作格局，将年轻一代民营企业家代表人士的教育培训列入人才队伍建设总体规划，充分发挥党校、社会主义学院、高校等教育培训的主阵地作用，用先进文化武装他们的头脑，帮助其深刻理解社会主义核心价值观的内涵。三是弘扬爱国情怀。引导年轻一代</w:t>
      </w:r>
      <w:r>
        <w:rPr>
          <w:rFonts w:hint="eastAsia" w:ascii="仿宋_GB2312" w:hAnsi="Times New Roman" w:eastAsia="仿宋_GB2312"/>
          <w:snapToGrid w:val="0"/>
          <w:kern w:val="2"/>
          <w:sz w:val="32"/>
          <w:szCs w:val="32"/>
          <w:lang w:val="en"/>
        </w:rPr>
        <w:t>民营企业家</w:t>
      </w:r>
      <w:r>
        <w:rPr>
          <w:rFonts w:hint="eastAsia" w:ascii="仿宋_GB2312" w:hAnsi="Times New Roman" w:eastAsia="仿宋_GB2312"/>
          <w:snapToGrid w:val="0"/>
          <w:kern w:val="2"/>
          <w:sz w:val="32"/>
          <w:szCs w:val="32"/>
        </w:rPr>
        <w:t>增强爱国情怀、勇于创新、诚信守法、承担社会责任、拓展国际视野，敢闯敢干，不断激发创新活力和创造潜能。发挥优秀企业家示范带动作用，按规定加大评选表彰力度，在民营经济中大力培育企业家精神，及时总结推广富有中国特色、顺应时代潮流的企业家成长经验。</w:t>
      </w:r>
    </w:p>
    <w:p w14:paraId="7285E676">
      <w:pPr>
        <w:pStyle w:val="11"/>
        <w:shd w:val="clear" w:color="auto" w:fill="FFFFFF"/>
        <w:snapToGrid w:val="0"/>
        <w:spacing w:line="560" w:lineRule="exact"/>
        <w:ind w:firstLine="640" w:firstLineChars="200"/>
        <w:jc w:val="both"/>
        <w:rPr>
          <w:rFonts w:ascii="仿宋_GB2312" w:hAnsi="Times New Roman" w:eastAsia="仿宋_GB2312"/>
          <w:snapToGrid w:val="0"/>
          <w:kern w:val="2"/>
          <w:sz w:val="32"/>
          <w:szCs w:val="32"/>
        </w:rPr>
      </w:pPr>
      <w:r>
        <w:rPr>
          <w:rFonts w:hint="eastAsia" w:ascii="楷体_GB2312" w:hAnsi="Times New Roman" w:eastAsia="楷体_GB2312"/>
          <w:snapToGrid w:val="0"/>
          <w:kern w:val="2"/>
          <w:sz w:val="32"/>
          <w:szCs w:val="32"/>
        </w:rPr>
        <w:t>（二）搭建成长平台，拓展渠道路径。</w:t>
      </w:r>
      <w:r>
        <w:rPr>
          <w:rFonts w:hint="eastAsia" w:ascii="仿宋_GB2312" w:hAnsi="Times New Roman" w:eastAsia="仿宋_GB2312"/>
          <w:snapToGrid w:val="0"/>
          <w:kern w:val="2"/>
          <w:sz w:val="32"/>
          <w:szCs w:val="32"/>
        </w:rPr>
        <w:t>一是立足引资聚才。积极组织民营企业与政府部门间开展项目对接、申报等活动，引导民营企业建设创业孵化器，吸引年轻创业者集聚发展。二是聚焦优势产业。充分利用现有资源，依托本地中蒙药材、番茄、肉牛、肉鸭等优势产业，引导发展新兴产业，实现产品深加工，延伸产业链条，培育新的增长点，推动产业加速发展，不断壮大企业规模，提高产业核心竞争力。三是夯实参政能力。鼓励和支持年轻一代民营企业家参政议政、建言献策，对特别优秀的适当安排担任商会领导班子成员，以各级人大、政协、工商联换届为契机，推荐年轻一代企业家代表人士走上更广阔的政治舞台。引导他们在相关领域和环节深度参与社会公益活动，积极开展产业振兴、人才振兴、扶贫济困等，不断提高他们履行社会责任、回报社会的意识，不断提高年轻一代的凝聚力和向心力。</w:t>
      </w:r>
    </w:p>
    <w:p w14:paraId="5EF88F05">
      <w:pPr>
        <w:pStyle w:val="11"/>
        <w:shd w:val="clear" w:color="auto" w:fill="FFFFFF"/>
        <w:snapToGrid w:val="0"/>
        <w:spacing w:line="560" w:lineRule="exact"/>
        <w:ind w:firstLine="640" w:firstLineChars="200"/>
        <w:jc w:val="both"/>
        <w:rPr>
          <w:rFonts w:ascii="仿宋_GB2312" w:hAnsi="Times New Roman" w:eastAsia="仿宋_GB2312"/>
          <w:snapToGrid w:val="0"/>
          <w:kern w:val="2"/>
          <w:sz w:val="32"/>
          <w:szCs w:val="32"/>
        </w:rPr>
      </w:pPr>
      <w:r>
        <w:rPr>
          <w:rFonts w:hint="eastAsia" w:ascii="楷体_GB2312" w:hAnsi="Times New Roman" w:eastAsia="楷体_GB2312"/>
          <w:snapToGrid w:val="0"/>
          <w:kern w:val="2"/>
          <w:sz w:val="32"/>
          <w:szCs w:val="32"/>
        </w:rPr>
        <w:t>（三）构建服务体系，营造良好氛围。</w:t>
      </w:r>
      <w:r>
        <w:rPr>
          <w:rFonts w:hint="eastAsia" w:ascii="仿宋_GB2312" w:hAnsi="Times New Roman" w:eastAsia="仿宋_GB2312"/>
          <w:snapToGrid w:val="0"/>
          <w:kern w:val="2"/>
          <w:sz w:val="32"/>
          <w:szCs w:val="32"/>
        </w:rPr>
        <w:t>一是培树先进典型。充分认识年轻一代企业家的重要作用，注重发现、培养和树立一批先进典型，深入扎实开展评选表彰活动，使年轻一代民营经济人士学有榜样、赶有目标，变个体效应为群体效应，在全社会形成良好氛围。二是加大扶持力度。加大对年轻一代企业家创业发展的扶持和服务力度，大力宣传有关创业创新的相关政策措施，为他们施展才华、发挥作用创造有利条件，努力在全社会形成推动年轻一代企业家创业创新的浓厚氛围。三是提高服务水平。切实转变政府职能，着力构建亲清政商关系，推动各级优秀年轻干部驻企锻炼，深入了解企业需求，面对面分析并帮助企业解决存在的困难和问题。切实提高办事效率，加快社会服务体系建设，积极开展信息咨询、技术创新、市场开拓等中介服务，加强校企合作，开展职业技能培训，为民营企业培训各类专业技术人才。</w:t>
      </w:r>
    </w:p>
    <w:p w14:paraId="4A217063"/>
    <w:p w14:paraId="210751F5">
      <w:pPr>
        <w:spacing w:after="111" w:line="248" w:lineRule="auto"/>
        <w:ind w:right="227"/>
        <w:rPr>
          <w:rFonts w:ascii="楷体_GB2312" w:eastAsia="楷体_GB2312"/>
        </w:rPr>
      </w:pPr>
    </w:p>
    <w:p w14:paraId="32E67F48">
      <w:pPr>
        <w:spacing w:after="111" w:line="248" w:lineRule="auto"/>
        <w:ind w:right="227"/>
        <w:rPr>
          <w:rFonts w:ascii="楷体_GB2312" w:eastAsia="楷体_GB2312"/>
        </w:rPr>
      </w:pPr>
    </w:p>
    <w:p w14:paraId="0D8E0EF6">
      <w:pPr>
        <w:spacing w:after="111" w:line="248" w:lineRule="auto"/>
        <w:ind w:right="227"/>
        <w:rPr>
          <w:rFonts w:ascii="楷体_GB2312" w:eastAsia="楷体_GB2312"/>
        </w:rPr>
      </w:pPr>
    </w:p>
    <w:p w14:paraId="4267427A">
      <w:pPr>
        <w:spacing w:after="111" w:line="248" w:lineRule="auto"/>
        <w:ind w:right="227"/>
        <w:rPr>
          <w:rFonts w:ascii="楷体_GB2312" w:eastAsia="楷体_GB2312"/>
        </w:rPr>
      </w:pPr>
    </w:p>
    <w:p w14:paraId="4D86C60C">
      <w:pPr>
        <w:spacing w:after="111" w:line="248" w:lineRule="auto"/>
        <w:ind w:right="227"/>
        <w:rPr>
          <w:rFonts w:ascii="楷体_GB2312" w:eastAsia="楷体_GB2312"/>
        </w:rPr>
      </w:pPr>
    </w:p>
    <w:p w14:paraId="44A0F9F1">
      <w:pPr>
        <w:spacing w:after="111" w:line="248" w:lineRule="auto"/>
        <w:ind w:right="227"/>
        <w:rPr>
          <w:rFonts w:ascii="楷体_GB2312" w:eastAsia="楷体_GB2312"/>
        </w:rPr>
      </w:pPr>
    </w:p>
    <w:p w14:paraId="5DAFC59E">
      <w:pPr>
        <w:spacing w:after="111" w:line="248" w:lineRule="auto"/>
        <w:ind w:right="227"/>
        <w:rPr>
          <w:rFonts w:ascii="楷体_GB2312" w:eastAsia="楷体_GB2312"/>
        </w:rPr>
      </w:pPr>
    </w:p>
    <w:p w14:paraId="06FC57D8">
      <w:pPr>
        <w:spacing w:after="111" w:line="248" w:lineRule="auto"/>
        <w:ind w:right="227"/>
        <w:rPr>
          <w:rFonts w:ascii="楷体_GB2312" w:eastAsia="楷体_GB2312"/>
          <w:sz w:val="32"/>
          <w:szCs w:val="32"/>
        </w:rPr>
      </w:pPr>
      <w:r>
        <w:rPr>
          <w:rFonts w:hint="eastAsia" w:ascii="楷体_GB2312" w:eastAsia="楷体_GB2312"/>
          <w:sz w:val="32"/>
          <w:szCs w:val="32"/>
        </w:rPr>
        <w:t>提案编号：004</w:t>
      </w:r>
    </w:p>
    <w:p w14:paraId="211C1EEC">
      <w:pPr>
        <w:pStyle w:val="18"/>
        <w:ind w:firstLine="0" w:firstLineChars="0"/>
        <w:rPr>
          <w:rFonts w:ascii="楷体_GB2312" w:hAnsi="方正小标宋简体" w:eastAsia="楷体_GB2312" w:cs="方正小标宋简体"/>
        </w:rPr>
      </w:pPr>
      <w:r>
        <w:rPr>
          <w:rFonts w:hint="eastAsia" w:ascii="楷体_GB2312" w:eastAsia="楷体_GB2312"/>
        </w:rPr>
        <w:t>提案名称：</w:t>
      </w:r>
      <w:r>
        <w:rPr>
          <w:rFonts w:hint="eastAsia" w:ascii="楷体_GB2312" w:hAnsi="方正小标宋简体" w:eastAsia="楷体_GB2312" w:cs="方正小标宋简体"/>
        </w:rPr>
        <w:t>关于喀旗“三北”工程建设的提案</w:t>
      </w:r>
    </w:p>
    <w:p w14:paraId="1486F1A7">
      <w:pPr>
        <w:spacing w:after="111" w:line="248" w:lineRule="auto"/>
        <w:ind w:right="227"/>
        <w:rPr>
          <w:rFonts w:ascii="楷体_GB2312" w:eastAsia="楷体_GB2312"/>
          <w:sz w:val="32"/>
          <w:szCs w:val="32"/>
        </w:rPr>
      </w:pPr>
      <w:r>
        <w:rPr>
          <w:rFonts w:hint="eastAsia" w:ascii="楷体_GB2312" w:eastAsia="楷体_GB2312"/>
          <w:sz w:val="32"/>
          <w:szCs w:val="32"/>
        </w:rPr>
        <w:t>提 案 人：韦红才</w:t>
      </w:r>
    </w:p>
    <w:p w14:paraId="7BD7BFF7">
      <w:pPr>
        <w:ind w:right="28"/>
        <w:rPr>
          <w:rFonts w:ascii="楷体_GB2312" w:eastAsia="楷体_GB2312"/>
          <w:sz w:val="32"/>
          <w:szCs w:val="32"/>
        </w:rPr>
      </w:pPr>
      <w:r>
        <w:rPr>
          <w:rFonts w:hint="eastAsia" w:ascii="楷体_GB2312" w:eastAsia="楷体_GB2312"/>
          <w:sz w:val="32"/>
          <w:szCs w:val="32"/>
        </w:rPr>
        <w:t>联系方式：13848668383</w:t>
      </w:r>
    </w:p>
    <w:p w14:paraId="197FEE47">
      <w:pPr>
        <w:ind w:right="28"/>
        <w:rPr>
          <w:rFonts w:ascii="楷体_GB2312" w:eastAsia="楷体_GB2312"/>
          <w:sz w:val="32"/>
          <w:szCs w:val="32"/>
        </w:rPr>
      </w:pPr>
      <w:r>
        <w:rPr>
          <w:rFonts w:hint="eastAsia" w:ascii="楷体_GB2312" w:eastAsia="楷体_GB2312"/>
          <w:sz w:val="32"/>
          <w:szCs w:val="32"/>
        </w:rPr>
        <w:t>界    别：农牧业</w:t>
      </w:r>
    </w:p>
    <w:p w14:paraId="45D99283">
      <w:pPr>
        <w:pStyle w:val="18"/>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关于喀旗“三北”工程建设的提案</w:t>
      </w:r>
    </w:p>
    <w:p w14:paraId="600BC01E">
      <w:pPr>
        <w:spacing w:before="156" w:beforeLines="50" w:after="156" w:afterLines="50" w:line="560" w:lineRule="exact"/>
        <w:jc w:val="center"/>
        <w:rPr>
          <w:rFonts w:ascii="楷体_GB2312" w:hAnsi="楷体_GB2312" w:eastAsia="楷体_GB2312" w:cs="楷体_GB2312"/>
        </w:rPr>
      </w:pPr>
    </w:p>
    <w:p w14:paraId="354F96DD">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喀喇沁旗国土总面积456万亩，其中林业用地面积275万亩，占全旗总面积的60%，森林面积224.5万亩，森林覆盖率为50.12%，位居全市第一，现有草地（以其他草地为主）45万亩、湿地0.1万亩。境内有马鞍山国家森林公园、旺业甸国家森林公园和旺业甸市级自然保护区；有旺业甸实验林场、王爷府林场、马鞍山林场和大牛群林场。</w:t>
      </w:r>
    </w:p>
    <w:p w14:paraId="4E56C151">
      <w:pPr>
        <w:spacing w:line="560" w:lineRule="exact"/>
        <w:rPr>
          <w:rFonts w:ascii="黑体" w:hAnsi="黑体" w:eastAsia="黑体" w:cs="Times New Roman"/>
          <w:color w:val="FF0000"/>
          <w:sz w:val="32"/>
          <w:szCs w:val="32"/>
        </w:rPr>
      </w:pPr>
      <w:r>
        <w:rPr>
          <w:rFonts w:ascii="黑体" w:hAnsi="黑体" w:eastAsia="黑体" w:cs="Times New Roman"/>
          <w:sz w:val="32"/>
          <w:szCs w:val="32"/>
        </w:rPr>
        <w:t>一、“三北”工程建设基本情况</w:t>
      </w:r>
    </w:p>
    <w:p w14:paraId="55C9CD14">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1996年，喀喇沁旗开始实施国家“三北”防护林建设三期工程。在西北部山区开展生态经济沟建设，营造水源涵养林和防风固沙林；在东部平川地区开展农业综合开发建设，营造沿河防风护岸林和农田防护林。</w:t>
      </w:r>
    </w:p>
    <w:p w14:paraId="575ADA1A">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“十四五”以来，我旗依托人工造林、退化林改造、植被恢复、东部沙地综合治理等项目，共营造乔木林1.66万亩、封山育林1万亩、退化林修复改造3.46万亩。</w:t>
      </w:r>
    </w:p>
    <w:p w14:paraId="217D8C1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“三北”六期2024-2026年拟人工造乔木林2.0984万亩、封育5.5万亩，总投资为3184.97万元，全部为中央预算内资金。目前，已获得上级主管部门批复，建设任务已按年度下达。</w:t>
      </w:r>
    </w:p>
    <w:p w14:paraId="52F34C50">
      <w:pPr>
        <w:spacing w:line="560" w:lineRule="exact"/>
        <w:ind w:firstLine="640" w:firstLineChars="200"/>
        <w:rPr>
          <w:rFonts w:ascii="Times New Roman" w:hAnsi="Times New Roman" w:cs="Times New Roman"/>
        </w:rPr>
      </w:pPr>
      <w:r>
        <w:rPr>
          <w:rFonts w:hint="eastAsia" w:ascii="仿宋_GB2312" w:hAnsi="Times New Roman" w:eastAsia="仿宋_GB2312" w:cs="Times New Roman"/>
          <w:sz w:val="32"/>
          <w:szCs w:val="32"/>
        </w:rPr>
        <w:t>按照“增绿扩面、提质增效、多措并举、综合治理”的思路，本着建管并重的原则，牢牢抓住国家生态建设重大机遇，山水林田湖草沙系统治理，统筹城乡绿化，注重点线片面有机结合，推进大规模国土绿化行动和生态保护</w:t>
      </w:r>
      <w:r>
        <w:rPr>
          <w:rFonts w:ascii="Times New Roman" w:hAnsi="Times New Roman" w:cs="Times New Roman"/>
        </w:rPr>
        <w:t>修复。</w:t>
      </w:r>
    </w:p>
    <w:p w14:paraId="5BB027D7">
      <w:pPr>
        <w:spacing w:line="560" w:lineRule="exact"/>
        <w:rPr>
          <w:rFonts w:ascii="黑体" w:hAnsi="黑体" w:eastAsia="黑体" w:cs="Times New Roman"/>
          <w:color w:val="FF0000"/>
          <w:sz w:val="32"/>
          <w:szCs w:val="32"/>
        </w:rPr>
      </w:pPr>
      <w:r>
        <w:rPr>
          <w:rFonts w:ascii="黑体" w:hAnsi="黑体" w:eastAsia="黑体" w:cs="Times New Roman"/>
          <w:sz w:val="32"/>
          <w:szCs w:val="32"/>
        </w:rPr>
        <w:t>二、存在的问题</w:t>
      </w:r>
    </w:p>
    <w:p w14:paraId="0D8C5148">
      <w:pPr>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（一）我旗现有拟实施项目地块相对分散、规模相对小、立地条件差、权属不集中。</w:t>
      </w:r>
      <w:r>
        <w:rPr>
          <w:rFonts w:hint="eastAsia" w:ascii="仿宋_GB2312" w:hAnsi="Times New Roman" w:eastAsia="仿宋_GB2312" w:cs="Times New Roman"/>
          <w:sz w:val="32"/>
          <w:szCs w:val="32"/>
        </w:rPr>
        <w:t>我旗“三调”数据显示，共有45万亩林地（林间空地、沟渠、盖度较小的灌木林地等）被划为其他草地，导致我旗可造林面积不多，且地块分散。按现有政策，不能在其他草地进行栽树，进一步提升森林覆盖率难度较大。</w:t>
      </w:r>
    </w:p>
    <w:p w14:paraId="555366FB">
      <w:pPr>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（二）当前建设项目实施资金标准低。</w:t>
      </w:r>
      <w:r>
        <w:rPr>
          <w:rFonts w:hint="eastAsia" w:ascii="仿宋_GB2312" w:hAnsi="Times New Roman" w:eastAsia="仿宋_GB2312" w:cs="Times New Roman"/>
          <w:sz w:val="32"/>
          <w:szCs w:val="32"/>
        </w:rPr>
        <w:t>当前，我旗拟实施地块大部分为立地条件不好的地方，导致投入成本大、机械化施工难，若执行当前投资标准，可能出现效果不佳，不能立竿见影。</w:t>
      </w:r>
    </w:p>
    <w:p w14:paraId="7EDCBC36">
      <w:pPr>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（三）部分现有项目区成活率低、管护难。</w:t>
      </w:r>
      <w:r>
        <w:rPr>
          <w:rFonts w:hint="eastAsia" w:ascii="仿宋_GB2312" w:hAnsi="Times New Roman" w:eastAsia="仿宋_GB2312" w:cs="Times New Roman"/>
          <w:sz w:val="32"/>
          <w:szCs w:val="32"/>
        </w:rPr>
        <w:t>受近些年天气干旱影响，受立地条件影响，只能“望天收”，导致部分已实施的项目成活率或保存率不佳，若不治理，无资金投入，将会形成图斑，但现有政策不能重复列入项目。</w:t>
      </w:r>
    </w:p>
    <w:p w14:paraId="245227B2">
      <w:pPr>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（四）林地保护任重道远。</w:t>
      </w:r>
      <w:r>
        <w:rPr>
          <w:rFonts w:hint="eastAsia" w:ascii="仿宋_GB2312" w:hAnsi="Times New Roman" w:eastAsia="仿宋_GB2312" w:cs="Times New Roman"/>
          <w:sz w:val="32"/>
          <w:szCs w:val="32"/>
        </w:rPr>
        <w:t>因我旗森林覆盖率较高，群众大部分住在林农交错区，群众为了养牛羊建圈舍等生产生活类的未批先建、私自使用林草地现象仍然存在，导致生态保护与群众发展矛盾凸显。另外，智慧化管理水平低，</w:t>
      </w:r>
      <w:r>
        <w:rPr>
          <w:rStyle w:val="19"/>
          <w:rFonts w:hint="eastAsia" w:ascii="仿宋_GB2312" w:hAnsi="Times New Roman" w:eastAsia="仿宋_GB2312" w:cs="Times New Roman"/>
          <w:sz w:val="32"/>
          <w:szCs w:val="32"/>
        </w:rPr>
        <w:t>我旗还未建立森林草原湿地大数据信息平台，在森林草原湿地及野生动物保护和防火、禁牧方面，依然依靠人工巡查巡护。</w:t>
      </w:r>
      <w:r>
        <w:rPr>
          <w:rFonts w:hint="eastAsia" w:ascii="仿宋_GB2312" w:hAnsi="Times New Roman" w:eastAsia="仿宋_GB2312" w:cs="Times New Roman"/>
          <w:sz w:val="32"/>
          <w:szCs w:val="32"/>
        </w:rPr>
        <w:t>在森林防火方面，群众依然存在侥幸心理，上坟烧纸、烧荒燎坝等，导致森林火险等级居高不下。</w:t>
      </w:r>
    </w:p>
    <w:p w14:paraId="3C3E368A">
      <w:pPr>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（五）护林员工资低，导致队伍不稳定。</w:t>
      </w:r>
      <w:r>
        <w:rPr>
          <w:rFonts w:hint="eastAsia" w:ascii="仿宋_GB2312" w:hAnsi="Times New Roman" w:eastAsia="仿宋_GB2312" w:cs="Times New Roman"/>
          <w:sz w:val="32"/>
          <w:szCs w:val="32"/>
        </w:rPr>
        <w:t>我旗共有护林员755名，其中，脱贫户护林员483名，公益林护林员272名。以脱贫户护林员工资每人每年1万元，公益林护林员工资原则上每人每月不低于2000元。林场聘用护林员享受“五险一金”政策，乡镇公益林护林员无“五险一金”政策待遇，且林场聘用的护林员因养老保险费用逐年增加，每月工资不到2000元，导致时有辞职不干现象。因在任护林员熟悉林草工作，同时也是我旗扑火队主要组成人员，人员的不稳定性给全旗林草保护等工作带来了很大影响。</w:t>
      </w:r>
    </w:p>
    <w:p w14:paraId="17ED4C56">
      <w:pPr>
        <w:spacing w:line="560" w:lineRule="exact"/>
        <w:rPr>
          <w:rFonts w:ascii="黑体" w:hAnsi="黑体" w:eastAsia="黑体" w:cs="Times New Roman"/>
          <w:color w:val="FF0000"/>
          <w:sz w:val="32"/>
          <w:szCs w:val="32"/>
        </w:rPr>
      </w:pPr>
      <w:r>
        <w:rPr>
          <w:rFonts w:hint="eastAsia" w:ascii="黑体" w:hAnsi="黑体" w:eastAsia="黑体" w:cs="Times New Roman"/>
          <w:sz w:val="32"/>
          <w:szCs w:val="32"/>
        </w:rPr>
        <w:t>三、意见建议</w:t>
      </w:r>
    </w:p>
    <w:p w14:paraId="4F654C72">
      <w:pPr>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（一）加强政策资金扶持，进一步打通生态价值实现转换通道。</w:t>
      </w:r>
      <w:r>
        <w:rPr>
          <w:rFonts w:hint="eastAsia" w:ascii="仿宋_GB2312" w:hAnsi="Times New Roman" w:eastAsia="仿宋_GB2312" w:cs="Times New Roman"/>
          <w:sz w:val="32"/>
          <w:szCs w:val="32"/>
        </w:rPr>
        <w:t>当前我旗发展林药、林菌等林下经济产业势头迅猛，自治区已经制定补贴政策，但是补贴标准较低，建议从国家层面制定支持发展林业经济的鼓励政策，这样既能提升林地效益，也可提升群众治理积极性，实现生态与经济效益双赢。</w:t>
      </w:r>
    </w:p>
    <w:p w14:paraId="06C6556D">
      <w:pPr>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（二）加强智慧化管理应用，提升林草资源保护监管效能。</w:t>
      </w:r>
      <w:r>
        <w:rPr>
          <w:rFonts w:hint="eastAsia" w:ascii="仿宋_GB2312" w:hAnsi="Times New Roman" w:eastAsia="仿宋_GB2312" w:cs="Times New Roman"/>
          <w:sz w:val="32"/>
          <w:szCs w:val="32"/>
        </w:rPr>
        <w:t>建议从国家层面，向基层统一工作平台推送相关数据，让基层直接分享数据成果，不必在建设平台上耗资金、争项目，比如气象信息、火险信息、林长管理平台、卫星火点监测等。</w:t>
      </w:r>
    </w:p>
    <w:p w14:paraId="24A8C52A">
      <w:pPr>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（三）加强执法队伍建设，确保及时解决破坏资源环境问题。</w:t>
      </w:r>
      <w:r>
        <w:rPr>
          <w:rFonts w:hint="eastAsia" w:ascii="仿宋_GB2312" w:hAnsi="Times New Roman" w:eastAsia="仿宋_GB2312" w:cs="Times New Roman"/>
          <w:sz w:val="32"/>
          <w:szCs w:val="32"/>
        </w:rPr>
        <w:t>当前，</w:t>
      </w:r>
      <w:r>
        <w:rPr>
          <w:rStyle w:val="19"/>
          <w:rFonts w:hint="eastAsia" w:ascii="仿宋_GB2312" w:hAnsi="Times New Roman" w:eastAsia="仿宋_GB2312" w:cs="Times New Roman"/>
          <w:sz w:val="32"/>
          <w:szCs w:val="32"/>
        </w:rPr>
        <w:t>森林公安转隶到旗公安局，林草系统无专业执法队伍，无法及时查处破坏森林草原资源违法案件，给依法有效保护森林、草原、湿地、野生动植物等生态环境资源带来了极其严重的困难和问题。建议协调相关部门，建立林草系统执法体系，以便更好保护林草资源</w:t>
      </w:r>
      <w:r>
        <w:rPr>
          <w:rFonts w:hint="eastAsia" w:ascii="仿宋_GB2312" w:hAnsi="Times New Roman" w:eastAsia="仿宋_GB2312" w:cs="Times New Roman"/>
          <w:sz w:val="32"/>
          <w:szCs w:val="32"/>
        </w:rPr>
        <w:t>。</w:t>
      </w:r>
    </w:p>
    <w:p w14:paraId="79BADA4D">
      <w:pPr>
        <w:spacing w:line="560" w:lineRule="exact"/>
        <w:ind w:firstLine="640" w:firstLineChars="200"/>
        <w:rPr>
          <w:rStyle w:val="19"/>
          <w:rFonts w:ascii="仿宋_GB2312" w:hAnsi="Times New Roman" w:eastAsia="仿宋_GB2312" w:cs="Times New Roman"/>
          <w:sz w:val="32"/>
          <w:szCs w:val="32"/>
        </w:rPr>
      </w:pPr>
      <w:r>
        <w:rPr>
          <w:rFonts w:hint="eastAsia" w:ascii="楷体_GB2312" w:hAnsi="Times New Roman" w:eastAsia="楷体_GB2312" w:cs="Times New Roman"/>
          <w:sz w:val="32"/>
          <w:szCs w:val="32"/>
        </w:rPr>
        <w:t>（四）改变护林员现有管理机制，进一步发挥管护作用。</w:t>
      </w:r>
      <w:r>
        <w:rPr>
          <w:rStyle w:val="19"/>
          <w:rFonts w:hint="eastAsia" w:ascii="仿宋_GB2312" w:hAnsi="Times New Roman" w:eastAsia="仿宋_GB2312" w:cs="Times New Roman"/>
          <w:sz w:val="32"/>
          <w:szCs w:val="32"/>
        </w:rPr>
        <w:t>应自上而下建立护林员工资增长机制，或实行第三方聘用、各乡镇使用的管理体制，缴纳相关政策费用，做到所得报酬让护林员安心工作。</w:t>
      </w:r>
    </w:p>
    <w:p w14:paraId="379E9B7A">
      <w:pPr>
        <w:rPr>
          <w:rFonts w:ascii="仿宋_GB2312" w:eastAsia="仿宋_GB2312"/>
          <w:sz w:val="32"/>
          <w:szCs w:val="32"/>
        </w:rPr>
      </w:pPr>
    </w:p>
    <w:p w14:paraId="2F016599">
      <w:pPr>
        <w:rPr>
          <w:rFonts w:ascii="楷体_GB2312" w:hAnsi="楷体_GB2312" w:eastAsia="楷体_GB2312" w:cs="楷体_GB2312"/>
          <w:sz w:val="32"/>
          <w:szCs w:val="32"/>
        </w:rPr>
      </w:pPr>
    </w:p>
    <w:p w14:paraId="0D88366D">
      <w:pPr>
        <w:rPr>
          <w:rFonts w:ascii="楷体_GB2312" w:hAnsi="楷体_GB2312" w:eastAsia="楷体_GB2312" w:cs="楷体_GB2312"/>
          <w:sz w:val="32"/>
          <w:szCs w:val="32"/>
        </w:rPr>
      </w:pPr>
    </w:p>
    <w:p w14:paraId="664B79E0">
      <w:pPr>
        <w:rPr>
          <w:rFonts w:ascii="楷体_GB2312" w:hAnsi="楷体_GB2312" w:eastAsia="楷体_GB2312" w:cs="楷体_GB2312"/>
          <w:sz w:val="32"/>
          <w:szCs w:val="32"/>
        </w:rPr>
      </w:pPr>
    </w:p>
    <w:p w14:paraId="6677619E">
      <w:pPr>
        <w:rPr>
          <w:rFonts w:ascii="楷体_GB2312" w:hAnsi="楷体_GB2312" w:eastAsia="楷体_GB2312" w:cs="楷体_GB2312"/>
          <w:sz w:val="32"/>
          <w:szCs w:val="32"/>
        </w:rPr>
      </w:pPr>
    </w:p>
    <w:p w14:paraId="5C126710">
      <w:pPr>
        <w:rPr>
          <w:rFonts w:ascii="楷体_GB2312" w:hAnsi="楷体_GB2312" w:eastAsia="楷体_GB2312" w:cs="楷体_GB2312"/>
          <w:sz w:val="32"/>
          <w:szCs w:val="32"/>
        </w:rPr>
      </w:pPr>
    </w:p>
    <w:p w14:paraId="3DA6A49F">
      <w:pPr>
        <w:rPr>
          <w:rFonts w:ascii="楷体_GB2312" w:hAnsi="楷体_GB2312" w:eastAsia="楷体_GB2312" w:cs="楷体_GB2312"/>
          <w:sz w:val="32"/>
          <w:szCs w:val="32"/>
        </w:rPr>
      </w:pPr>
    </w:p>
    <w:p w14:paraId="168AFAC1">
      <w:pPr>
        <w:rPr>
          <w:rFonts w:ascii="楷体_GB2312" w:hAnsi="楷体_GB2312" w:eastAsia="楷体_GB2312" w:cs="楷体_GB2312"/>
          <w:sz w:val="32"/>
          <w:szCs w:val="32"/>
        </w:rPr>
      </w:pPr>
    </w:p>
    <w:p w14:paraId="43D97B82">
      <w:pPr>
        <w:rPr>
          <w:rFonts w:ascii="楷体_GB2312" w:hAnsi="楷体_GB2312" w:eastAsia="楷体_GB2312" w:cs="楷体_GB2312"/>
          <w:sz w:val="32"/>
          <w:szCs w:val="32"/>
        </w:rPr>
      </w:pPr>
    </w:p>
    <w:p w14:paraId="44910481">
      <w:pPr>
        <w:rPr>
          <w:rFonts w:ascii="楷体_GB2312" w:hAnsi="楷体_GB2312" w:eastAsia="楷体_GB2312" w:cs="楷体_GB2312"/>
          <w:sz w:val="32"/>
          <w:szCs w:val="32"/>
        </w:rPr>
      </w:pPr>
    </w:p>
    <w:p w14:paraId="590469FE">
      <w:pPr>
        <w:rPr>
          <w:rFonts w:ascii="楷体_GB2312" w:hAnsi="楷体_GB2312" w:eastAsia="楷体_GB2312" w:cs="楷体_GB2312"/>
          <w:sz w:val="32"/>
          <w:szCs w:val="32"/>
        </w:rPr>
      </w:pPr>
    </w:p>
    <w:p w14:paraId="1C9F0CF7">
      <w:pPr>
        <w:rPr>
          <w:rFonts w:ascii="楷体_GB2312" w:hAnsi="楷体_GB2312" w:eastAsia="楷体_GB2312" w:cs="楷体_GB2312"/>
          <w:sz w:val="32"/>
          <w:szCs w:val="32"/>
        </w:rPr>
      </w:pPr>
    </w:p>
    <w:p w14:paraId="5ADF0AE7">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提案编号:005</w:t>
      </w:r>
    </w:p>
    <w:p w14:paraId="362EA73E">
      <w:pPr>
        <w:spacing w:line="560" w:lineRule="exact"/>
        <w:ind w:left="1600" w:hanging="1600" w:hangingChars="500"/>
        <w:rPr>
          <w:rFonts w:ascii="楷体_GB2312" w:hAnsi="方正小标宋简体" w:eastAsia="楷体_GB2312" w:cs="方正小标宋简体"/>
          <w:sz w:val="32"/>
          <w:szCs w:val="32"/>
        </w:rPr>
      </w:pPr>
      <w:r>
        <w:rPr>
          <w:rFonts w:hint="eastAsia" w:ascii="楷体_GB2312" w:hAnsi="楷体_GB2312" w:eastAsia="楷体_GB2312" w:cs="楷体_GB2312"/>
          <w:sz w:val="32"/>
          <w:szCs w:val="32"/>
        </w:rPr>
        <w:t>提案名称:</w:t>
      </w:r>
      <w:r>
        <w:rPr>
          <w:rFonts w:hint="eastAsia" w:ascii="楷体_GB2312" w:hAnsi="方正小标宋简体" w:eastAsia="楷体_GB2312" w:cs="方正小标宋简体"/>
          <w:sz w:val="32"/>
          <w:szCs w:val="32"/>
        </w:rPr>
        <w:t>关于牢记总书记嘱托，让“红色文艺轻骑兵”走得更远的提案</w:t>
      </w:r>
    </w:p>
    <w:p w14:paraId="40EE4963">
      <w:pPr>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人:祁宏业</w:t>
      </w:r>
    </w:p>
    <w:p w14:paraId="3FD2300E">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联系方式：15849645867</w:t>
      </w:r>
    </w:p>
    <w:p w14:paraId="2F5CE353">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别:文化体育和新闻</w:t>
      </w:r>
    </w:p>
    <w:p w14:paraId="6373B621">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rPr>
        <w:t>关于牢记总书记嘱托，让“红色文艺轻骑兵”走得更远的提案</w:t>
      </w:r>
    </w:p>
    <w:p w14:paraId="77015956">
      <w:pPr>
        <w:spacing w:line="560" w:lineRule="exact"/>
        <w:ind w:firstLine="640" w:firstLineChars="200"/>
        <w:rPr>
          <w:rFonts w:ascii="仿宋_GB2312" w:hAnsi="仿宋_GB2312" w:eastAsia="仿宋_GB2312" w:cs="仿宋_GB2312"/>
          <w:sz w:val="32"/>
          <w:szCs w:val="32"/>
        </w:rPr>
      </w:pPr>
    </w:p>
    <w:p w14:paraId="699C40C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2017年11月习近平总书记给苏尼特右旗乌兰牧骑回信中勉励乌兰牧骑在新时代，扎根生活沃土，服务牧民群众，推动文艺创新，努力创作更多接地气、传得开、留得下的优秀作品，永远做草原上的“红色文艺轻骑兵”。活跃在内蒙古城乡，被誉为草原上的“红色文艺轻骑兵”的乌兰牧骑以实际行动践行着总书记的殷殷嘱托和期望，履行着自身的使命和担当。</w:t>
      </w:r>
    </w:p>
    <w:p w14:paraId="27F6C66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xml:space="preserve">  一、发展现状</w:t>
      </w:r>
    </w:p>
    <w:p w14:paraId="73AA78FB">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自1957年内蒙古第一支乌兰牧骑成立以来，全区已经有75支乌兰牧骑、3500多名队员活跃在广阔的内蒙古草原，人员由最初的每支10多人增至40余人，装备也有了很大改善。他们以草原为基，每年为农牧民群众演出数千场，足迹遍布全国各地，并且已经走向20多个国家和地区，广受人民群众的喜爱，在国内外赢得了很高的声誉，成为草原上耀眼夺目的明珠。被农牧民亲切地称为“玛奈（我们的）乌兰牧骑”，队员们则被唤作“玛奈呼和德（我们的孩子）”。已经成为宣传思想阵地的主力军、农牧民精神食粮的输送人、富民政策的传播者。同时，乌兰牧骑也面临着与新形势、新要求、新挑战不相适应、制约发展的瓶颈性问题。</w:t>
      </w:r>
    </w:p>
    <w:p w14:paraId="7DF55CD1">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二、存在问题</w:t>
      </w:r>
    </w:p>
    <w:p w14:paraId="7ED32800">
      <w:pPr>
        <w:spacing w:line="560" w:lineRule="exact"/>
        <w:ind w:firstLine="648"/>
        <w:rPr>
          <w:rFonts w:ascii="仿宋_GB2312" w:hAnsi="仿宋_GB2312" w:eastAsia="仿宋_GB2312" w:cs="仿宋_GB2312"/>
          <w:sz w:val="32"/>
          <w:szCs w:val="32"/>
        </w:rPr>
      </w:pPr>
      <w:r>
        <w:rPr>
          <w:rFonts w:hint="eastAsia" w:ascii="仿宋_GB2312" w:hAnsi="仿宋_GB2312" w:eastAsia="仿宋_GB2312" w:cs="仿宋_GB2312"/>
          <w:sz w:val="32"/>
          <w:szCs w:val="32"/>
        </w:rPr>
        <w:t>当前，在各类新媒体和综艺形式多样化的普及和冲击下，乌兰牧骑出现了机制、人才、转型等制约发展的瓶颈问题，亟须在人才建设、体制机制、角色定位等方面予以转变和解决。</w:t>
      </w:r>
    </w:p>
    <w:p w14:paraId="38587065">
      <w:pPr>
        <w:spacing w:line="560" w:lineRule="exact"/>
        <w:ind w:firstLine="648"/>
        <w:rPr>
          <w:rFonts w:ascii="仿宋_GB2312" w:hAnsi="仿宋_GB2312" w:eastAsia="仿宋_GB2312" w:cs="仿宋_GB2312"/>
          <w:sz w:val="32"/>
          <w:szCs w:val="32"/>
        </w:rPr>
      </w:pPr>
      <w:r>
        <w:rPr>
          <w:rFonts w:hint="eastAsia" w:ascii="楷体_GB2312" w:hAnsi="楷体_GB2312" w:eastAsia="楷体_GB2312" w:cs="楷体_GB2312"/>
          <w:sz w:val="32"/>
          <w:szCs w:val="32"/>
        </w:rPr>
        <w:t>（一）队伍建设有短板。</w:t>
      </w:r>
      <w:r>
        <w:rPr>
          <w:rFonts w:hint="eastAsia" w:ascii="仿宋_GB2312" w:hAnsi="仿宋_GB2312" w:eastAsia="仿宋_GB2312" w:cs="仿宋_GB2312"/>
          <w:sz w:val="32"/>
          <w:szCs w:val="32"/>
        </w:rPr>
        <w:t>一是演职员队伍年龄偏大的情况普遍存在，新老队员进出不畅成为制约乌兰牧骑发展的主要问题。以喀喇沁旗乌兰牧骑为例，核定编制24人，实际在编人员14人，临时聘用人员10人，多年来备受困扰的是，专业院校毕业人才不愿回旗县，引不进来；临时聘用人员工资偏低，聘用难、留不住。年龄结构偏大、整体阵容不足、人员接续乏力，成为各地乌兰牧骑的共性问题。二是体现蒙古族特色和传承的专业性合成人才短缺。如男声呼麦、女声长调，民族舞等专业人才呈缺失状态。三是继续教育手段单一，外出培训机会较少，整体素质和专业水平偏低的情况普遍存在。</w:t>
      </w:r>
    </w:p>
    <w:p w14:paraId="0F86ADF5">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（二）运营改革不到位。</w:t>
      </w:r>
      <w:r>
        <w:rPr>
          <w:rFonts w:hint="eastAsia" w:ascii="仿宋_GB2312" w:hAnsi="仿宋_GB2312" w:eastAsia="仿宋_GB2312" w:cs="仿宋_GB2312"/>
          <w:sz w:val="32"/>
          <w:szCs w:val="32"/>
        </w:rPr>
        <w:t>一是随着城镇化进程的加快，农村牧区人口流失严重，观众和受众减少，基于传统形式的演出模式，已难以形成吸引力；二是随着手机的普及以及各类新媒体、自媒体平台的涌现，人们可以“足不出户”欣赏到丰富多彩的文艺节目，如何让人们“走出来”，传统演出市场面临巨大挑战，易形成观众和市场的流失需要更多创新性探索。</w:t>
      </w:r>
    </w:p>
    <w:p w14:paraId="1845541D">
      <w:pPr>
        <w:spacing w:line="560" w:lineRule="exact"/>
        <w:ind w:firstLine="648"/>
        <w:rPr>
          <w:rFonts w:ascii="仿宋_GB2312" w:hAnsi="仿宋_GB2312" w:eastAsia="仿宋_GB2312" w:cs="仿宋_GB2312"/>
          <w:sz w:val="32"/>
          <w:szCs w:val="32"/>
        </w:rPr>
      </w:pPr>
      <w:r>
        <w:rPr>
          <w:rFonts w:hint="eastAsia" w:ascii="楷体_GB2312" w:hAnsi="楷体_GB2312" w:eastAsia="楷体_GB2312" w:cs="楷体_GB2312"/>
          <w:sz w:val="32"/>
          <w:szCs w:val="32"/>
        </w:rPr>
        <w:t>（三）体制机制不完善。</w:t>
      </w:r>
      <w:r>
        <w:rPr>
          <w:rFonts w:hint="eastAsia" w:ascii="仿宋_GB2312" w:hAnsi="仿宋_GB2312" w:eastAsia="仿宋_GB2312" w:cs="仿宋_GB2312"/>
          <w:sz w:val="32"/>
          <w:szCs w:val="32"/>
        </w:rPr>
        <w:t>在一些领域，体制机制缺乏，导致基层乌兰牧骑发展动力不足，能力提升存在短板，限制了乌兰牧骑的突破和进步。如，部分乌兰牧骑创新能力不足，与市场需求、群众所求、形势要求缺乏有效衔接，缺少特色的核心竞争品牌。再如，在人才和人员的流动机制上，大部分乌兰牧骑延续着“终身制”，缺乏新老交替、换血造血的机制，尚未形成进出有序、培养提升、新老结合、以强带弱的人才机制。</w:t>
      </w:r>
    </w:p>
    <w:p w14:paraId="75236C4C">
      <w:pPr>
        <w:spacing w:line="560" w:lineRule="exact"/>
        <w:ind w:firstLine="648"/>
        <w:rPr>
          <w:rFonts w:ascii="黑体" w:hAnsi="黑体" w:eastAsia="黑体" w:cs="仿宋_GB2312"/>
          <w:bCs/>
          <w:sz w:val="32"/>
          <w:szCs w:val="32"/>
        </w:rPr>
      </w:pPr>
      <w:r>
        <w:rPr>
          <w:rFonts w:hint="eastAsia" w:ascii="黑体" w:hAnsi="黑体" w:eastAsia="黑体" w:cs="仿宋_GB2312"/>
          <w:bCs/>
          <w:sz w:val="32"/>
          <w:szCs w:val="32"/>
        </w:rPr>
        <w:t>三、对策建议</w:t>
      </w:r>
    </w:p>
    <w:p w14:paraId="2BA58887">
      <w:pPr>
        <w:spacing w:line="560" w:lineRule="exact"/>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楷体_GB2312" w:hAnsi="楷体_GB2312" w:eastAsia="楷体_GB2312" w:cs="楷体_GB2312"/>
          <w:sz w:val="32"/>
          <w:szCs w:val="32"/>
        </w:rPr>
        <w:t>（一）打基础，加强人才队伍建设。</w:t>
      </w:r>
      <w:r>
        <w:rPr>
          <w:rFonts w:hint="eastAsia" w:ascii="仿宋_GB2312" w:hAnsi="仿宋_GB2312" w:eastAsia="仿宋_GB2312" w:cs="仿宋_GB2312"/>
          <w:sz w:val="32"/>
          <w:szCs w:val="32"/>
        </w:rPr>
        <w:t>一是灵活用编，建强核心队伍。在全区范围内，运用“大文化”理念，在旗县级文化旅游体育系统内，实现乌兰牧骑与系统内文化馆、图书馆等其他单位因需、因才、因人统一调配，让人员流动起来，确保主创人员、核心演员、新领域人才强起来。建立文化系统演职人员储备库，做到有人可用、有材可选、用时可调。二是灵活用人，引进特殊人才。着眼于内蒙古民族特色和乌兰牧骑传统，采取统一招聘、购买服务、外聘兼职等方式引进具有民族特色的声乐、呼麦、蒙古舞、马头琴等专业人才，充实人才队伍。三是灵活薪酬，凝聚团队力量。建立绩效考核机制，在固有待遇基础上，增加“创演”经费，凝聚力量、提质增效；在中高职称数量和评聘政策上予以倾斜；各级政府加大投入，对非在编人员，在签订劳动合同的基础上，</w:t>
      </w:r>
      <w:r>
        <w:rPr>
          <w:rFonts w:ascii="仿宋_GB2312" w:hAnsi="仿宋_GB2312" w:eastAsia="仿宋_GB2312" w:cs="仿宋_GB2312"/>
          <w:sz w:val="32"/>
          <w:szCs w:val="32"/>
        </w:rPr>
        <w:t>坚持同工同酬、优绩优</w:t>
      </w:r>
      <w:r>
        <w:rPr>
          <w:rFonts w:hint="eastAsia" w:ascii="仿宋_GB2312" w:hAnsi="仿宋_GB2312" w:eastAsia="仿宋_GB2312" w:cs="仿宋_GB2312"/>
          <w:sz w:val="32"/>
          <w:szCs w:val="32"/>
        </w:rPr>
        <w:t>酬的</w:t>
      </w:r>
      <w:r>
        <w:rPr>
          <w:rFonts w:ascii="仿宋_GB2312" w:hAnsi="仿宋_GB2312" w:eastAsia="仿宋_GB2312" w:cs="仿宋_GB2312"/>
          <w:sz w:val="32"/>
          <w:szCs w:val="32"/>
        </w:rPr>
        <w:t>原</w:t>
      </w:r>
      <w:r>
        <w:rPr>
          <w:rFonts w:hint="eastAsia" w:ascii="仿宋_GB2312" w:hAnsi="仿宋_GB2312" w:eastAsia="仿宋_GB2312" w:cs="仿宋_GB2312"/>
          <w:sz w:val="32"/>
          <w:szCs w:val="32"/>
        </w:rPr>
        <w:t>则，提高待遇、提振士气。</w:t>
      </w:r>
      <w:r>
        <w:rPr>
          <w:rFonts w:ascii="仿宋_GB2312" w:hAnsi="仿宋_GB2312" w:eastAsia="仿宋_GB2312" w:cs="仿宋_GB2312"/>
          <w:sz w:val="32"/>
          <w:szCs w:val="32"/>
        </w:rPr>
        <w:t xml:space="preserve"> </w:t>
      </w:r>
    </w:p>
    <w:p w14:paraId="1F34D260">
      <w:pPr>
        <w:spacing w:line="560" w:lineRule="exact"/>
        <w:ind w:firstLine="720"/>
        <w:rPr>
          <w:rFonts w:ascii="仿宋_GB2312" w:hAnsi="仿宋_GB2312" w:eastAsia="仿宋_GB2312" w:cs="仿宋_GB2312"/>
          <w:sz w:val="32"/>
          <w:szCs w:val="32"/>
        </w:rPr>
      </w:pPr>
      <w:r>
        <w:rPr>
          <w:rFonts w:hint="eastAsia" w:ascii="楷体_GB2312" w:hAnsi="楷体_GB2312" w:eastAsia="楷体_GB2312" w:cs="楷体_GB2312"/>
          <w:sz w:val="32"/>
          <w:szCs w:val="32"/>
        </w:rPr>
        <w:t>（二）想实招，建立市场运营机制。</w:t>
      </w:r>
      <w:r>
        <w:rPr>
          <w:rFonts w:hint="eastAsia" w:ascii="仿宋_GB2312" w:hAnsi="仿宋_GB2312" w:eastAsia="仿宋_GB2312" w:cs="仿宋_GB2312"/>
          <w:sz w:val="32"/>
          <w:szCs w:val="32"/>
        </w:rPr>
        <w:t>一是以服务为导向，创作群众喜闻乐见的文艺节目。深耕传统文化资源、扎根基层沃土，深入群众生产生活一线，采集百姓故事、寻找创作灵感；加强与商业演出团体和民间演艺人士交流，互通有无，博采众长，创作出接地气、有内涵、受欢迎的文艺作品。二是以双赢为目标，探索公司化运营。坚持社会效益与经济效益并重理念，借鉴公司化运营模式，以为民服务为主旨，走文旅融合、艺术培训、舞美制作、商业演出等协调发展之路；多角度、多形式开展文企、文地、文校、文景等联姻共建活动。采取与公司企业合作宣传演出、与政府部门合作专场演出、与中小学校合作专题演出、与景区运营公司合作驻场演出等方式，弘扬文化、宣传政策，实现双赢。三是以网络为载体，创造更大舞台。尝试 “云上乌兰牧骑”“互联网+乌兰牧骑”的工作方式，建立自己的“公众号”，抽出专门人员抓运营。选择2—3个擅长领域，充分借助抖音、快手等自媒体平台，学习哈尔滨、淄博、菏泽等地先行经验，积极探索直播、录播等新型演出方式，把乌兰牧骑的舞台由农村牧区、草原牧场、田间地头向荧屏内外、画里画外、人群内外延展，以自身优势创造更大舞台、更大影响。</w:t>
      </w:r>
    </w:p>
    <w:p w14:paraId="7762C19B">
      <w:pPr>
        <w:spacing w:line="560" w:lineRule="exact"/>
        <w:ind w:firstLine="720"/>
        <w:rPr>
          <w:rFonts w:ascii="仿宋_GB2312" w:hAnsi="仿宋_GB2312" w:eastAsia="仿宋_GB2312" w:cs="仿宋_GB2312"/>
          <w:sz w:val="32"/>
          <w:szCs w:val="32"/>
        </w:rPr>
      </w:pPr>
      <w:r>
        <w:rPr>
          <w:rFonts w:hint="eastAsia" w:ascii="楷体_GB2312" w:hAnsi="楷体_GB2312" w:eastAsia="楷体_GB2312" w:cs="楷体_GB2312"/>
          <w:sz w:val="32"/>
          <w:szCs w:val="32"/>
        </w:rPr>
        <w:t>（三）出精品，打造特色核心竞争品牌。</w:t>
      </w:r>
      <w:r>
        <w:rPr>
          <w:rFonts w:hint="eastAsia" w:ascii="仿宋_GB2312" w:hAnsi="仿宋_GB2312" w:eastAsia="仿宋_GB2312" w:cs="仿宋_GB2312"/>
          <w:sz w:val="32"/>
          <w:szCs w:val="32"/>
        </w:rPr>
        <w:t>结合乌兰牧骑队员一专多能的特点，坚持走以话剧创作为主、以戏剧小品、歌舞器乐等其他演绎形式为辅的发展路子。一是围绕党建抓精品。充分利用党日、节日，推出一批弘扬党的光辉历程、党的二十大精神、讴歌时代人物的传承励志节目，弘扬主旋律。二是围绕特色塑精品。创作一批具有地方特色的歌曲、小品、折子戏等艺术节目，讲好内蒙古故事，展示内蒙古形象。三是围绕重点出精品。围绕</w:t>
      </w:r>
      <w:r>
        <w:rPr>
          <w:rFonts w:hint="eastAsia" w:ascii="仿宋_GB2312" w:hAnsi="仿宋_GB2312" w:eastAsia="仿宋_GB2312" w:cs="仿宋_GB2312"/>
          <w:sz w:val="32"/>
          <w:szCs w:val="32"/>
          <w:lang w:eastAsia="zh-CN"/>
        </w:rPr>
        <w:t>习近平总书记</w:t>
      </w:r>
      <w:r>
        <w:rPr>
          <w:rFonts w:hint="eastAsia" w:ascii="仿宋_GB2312" w:hAnsi="仿宋_GB2312" w:eastAsia="仿宋_GB2312" w:cs="仿宋_GB2312"/>
          <w:sz w:val="32"/>
          <w:szCs w:val="32"/>
        </w:rPr>
        <w:t>交给内蒙古的“五大任务”，赋能全员力量、深挖创作资源，打造精品节目，使乌兰牧骑成为弘扬蒙古马精神的先锋队和主力军。</w:t>
      </w:r>
    </w:p>
    <w:p w14:paraId="7233E458">
      <w:pPr>
        <w:spacing w:line="560" w:lineRule="exact"/>
        <w:ind w:firstLine="720"/>
        <w:rPr>
          <w:rFonts w:ascii="仿宋_GB2312" w:hAnsi="仿宋_GB2312" w:eastAsia="仿宋_GB2312" w:cs="仿宋_GB2312"/>
          <w:sz w:val="32"/>
          <w:szCs w:val="32"/>
        </w:rPr>
      </w:pPr>
    </w:p>
    <w:p w14:paraId="0C664255">
      <w:pPr>
        <w:spacing w:line="600" w:lineRule="exact"/>
        <w:rPr>
          <w:rFonts w:ascii="楷体_GB2312" w:hAnsi="楷体" w:eastAsia="楷体_GB2312" w:cs="楷体"/>
          <w:sz w:val="32"/>
          <w:szCs w:val="32"/>
        </w:rPr>
      </w:pPr>
    </w:p>
    <w:p w14:paraId="18997D0A">
      <w:pPr>
        <w:spacing w:line="600" w:lineRule="exact"/>
        <w:rPr>
          <w:rFonts w:ascii="楷体_GB2312" w:hAnsi="楷体" w:eastAsia="楷体_GB2312" w:cs="楷体"/>
          <w:sz w:val="32"/>
          <w:szCs w:val="32"/>
        </w:rPr>
      </w:pPr>
    </w:p>
    <w:p w14:paraId="36B13412">
      <w:pPr>
        <w:spacing w:line="600" w:lineRule="exact"/>
        <w:rPr>
          <w:rFonts w:ascii="楷体_GB2312" w:hAnsi="楷体" w:eastAsia="楷体_GB2312" w:cs="楷体"/>
          <w:sz w:val="32"/>
          <w:szCs w:val="32"/>
        </w:rPr>
      </w:pPr>
    </w:p>
    <w:p w14:paraId="4AE36ECC">
      <w:pPr>
        <w:spacing w:line="600" w:lineRule="exact"/>
        <w:rPr>
          <w:rFonts w:ascii="楷体_GB2312" w:hAnsi="楷体" w:eastAsia="楷体_GB2312" w:cs="楷体"/>
          <w:sz w:val="32"/>
          <w:szCs w:val="32"/>
        </w:rPr>
      </w:pPr>
    </w:p>
    <w:p w14:paraId="1030A296">
      <w:pPr>
        <w:spacing w:line="600" w:lineRule="exact"/>
        <w:rPr>
          <w:rFonts w:ascii="楷体_GB2312" w:hAnsi="楷体" w:eastAsia="楷体_GB2312" w:cs="楷体"/>
          <w:sz w:val="32"/>
          <w:szCs w:val="32"/>
        </w:rPr>
      </w:pPr>
    </w:p>
    <w:p w14:paraId="70F6D080">
      <w:pPr>
        <w:spacing w:line="600" w:lineRule="exact"/>
        <w:rPr>
          <w:rFonts w:ascii="楷体_GB2312" w:hAnsi="楷体" w:eastAsia="楷体_GB2312" w:cs="楷体"/>
          <w:sz w:val="32"/>
          <w:szCs w:val="32"/>
        </w:rPr>
      </w:pPr>
    </w:p>
    <w:p w14:paraId="7C247D13">
      <w:pPr>
        <w:spacing w:line="600" w:lineRule="exact"/>
        <w:rPr>
          <w:rFonts w:ascii="楷体_GB2312" w:hAnsi="楷体" w:eastAsia="楷体_GB2312" w:cs="楷体"/>
          <w:sz w:val="32"/>
          <w:szCs w:val="32"/>
        </w:rPr>
      </w:pPr>
    </w:p>
    <w:p w14:paraId="4DD77875">
      <w:pPr>
        <w:spacing w:line="600" w:lineRule="exact"/>
        <w:rPr>
          <w:rFonts w:ascii="楷体_GB2312" w:hAnsi="楷体" w:eastAsia="楷体_GB2312" w:cs="楷体"/>
          <w:sz w:val="32"/>
          <w:szCs w:val="32"/>
        </w:rPr>
      </w:pPr>
    </w:p>
    <w:p w14:paraId="04CC62C9">
      <w:pPr>
        <w:spacing w:line="600" w:lineRule="exact"/>
        <w:rPr>
          <w:rFonts w:ascii="楷体_GB2312" w:hAnsi="楷体" w:eastAsia="楷体_GB2312" w:cs="楷体"/>
          <w:sz w:val="32"/>
          <w:szCs w:val="32"/>
        </w:rPr>
      </w:pPr>
    </w:p>
    <w:p w14:paraId="19E2BF7D">
      <w:pPr>
        <w:spacing w:line="600" w:lineRule="exact"/>
        <w:rPr>
          <w:rFonts w:ascii="楷体_GB2312" w:hAnsi="楷体" w:eastAsia="楷体_GB2312" w:cs="楷体"/>
          <w:sz w:val="32"/>
          <w:szCs w:val="32"/>
        </w:rPr>
      </w:pPr>
    </w:p>
    <w:p w14:paraId="16B4B299">
      <w:pPr>
        <w:spacing w:line="600" w:lineRule="exact"/>
        <w:rPr>
          <w:rFonts w:ascii="楷体_GB2312" w:hAnsi="楷体" w:eastAsia="楷体_GB2312" w:cs="楷体"/>
          <w:sz w:val="32"/>
          <w:szCs w:val="32"/>
        </w:rPr>
      </w:pPr>
    </w:p>
    <w:p w14:paraId="5BACE438">
      <w:pPr>
        <w:spacing w:line="600" w:lineRule="exact"/>
        <w:rPr>
          <w:rFonts w:ascii="楷体_GB2312" w:hAnsi="楷体" w:eastAsia="楷体_GB2312" w:cs="楷体"/>
          <w:sz w:val="32"/>
          <w:szCs w:val="32"/>
        </w:rPr>
      </w:pPr>
    </w:p>
    <w:p w14:paraId="08CBB01C">
      <w:pPr>
        <w:spacing w:line="600" w:lineRule="exact"/>
        <w:rPr>
          <w:rFonts w:ascii="楷体_GB2312" w:hAnsi="楷体" w:eastAsia="楷体_GB2312" w:cs="楷体"/>
          <w:sz w:val="32"/>
          <w:szCs w:val="32"/>
        </w:rPr>
      </w:pPr>
    </w:p>
    <w:p w14:paraId="1E9BE725">
      <w:pPr>
        <w:spacing w:line="600" w:lineRule="exact"/>
        <w:rPr>
          <w:rFonts w:ascii="楷体_GB2312" w:hAnsi="楷体" w:eastAsia="楷体_GB2312" w:cs="楷体"/>
          <w:sz w:val="32"/>
          <w:szCs w:val="32"/>
        </w:rPr>
      </w:pPr>
    </w:p>
    <w:p w14:paraId="679DCBDD">
      <w:pPr>
        <w:spacing w:line="600" w:lineRule="exact"/>
        <w:rPr>
          <w:rFonts w:ascii="楷体_GB2312" w:hAnsi="楷体" w:eastAsia="楷体_GB2312" w:cs="楷体"/>
          <w:sz w:val="32"/>
          <w:szCs w:val="32"/>
        </w:rPr>
      </w:pPr>
    </w:p>
    <w:p w14:paraId="12CB869C">
      <w:pPr>
        <w:spacing w:line="600" w:lineRule="exact"/>
        <w:rPr>
          <w:rFonts w:ascii="楷体_GB2312" w:hAnsi="楷体" w:eastAsia="楷体_GB2312" w:cs="楷体"/>
          <w:bCs/>
          <w:sz w:val="32"/>
          <w:szCs w:val="32"/>
        </w:rPr>
      </w:pPr>
      <w:r>
        <w:rPr>
          <w:rFonts w:hint="eastAsia" w:ascii="楷体_GB2312" w:hAnsi="楷体" w:eastAsia="楷体_GB2312" w:cs="楷体"/>
          <w:sz w:val="32"/>
          <w:szCs w:val="32"/>
        </w:rPr>
        <w:t>提案</w:t>
      </w:r>
      <w:r>
        <w:rPr>
          <w:rFonts w:hint="eastAsia" w:ascii="楷体_GB2312" w:hAnsi="楷体" w:eastAsia="楷体_GB2312" w:cs="楷体"/>
          <w:bCs/>
          <w:sz w:val="32"/>
          <w:szCs w:val="32"/>
        </w:rPr>
        <w:t>编号：006</w:t>
      </w:r>
    </w:p>
    <w:p w14:paraId="1F53D351">
      <w:pPr>
        <w:spacing w:line="600" w:lineRule="exact"/>
        <w:rPr>
          <w:rFonts w:ascii="楷体_GB2312" w:hAnsi="楷体" w:eastAsia="楷体_GB2312" w:cs="楷体"/>
          <w:sz w:val="32"/>
          <w:szCs w:val="32"/>
        </w:rPr>
      </w:pPr>
      <w:r>
        <w:rPr>
          <w:rFonts w:hint="eastAsia" w:ascii="楷体_GB2312" w:hAnsi="楷体" w:eastAsia="楷体_GB2312" w:cs="楷体"/>
          <w:color w:val="000000" w:themeColor="text1"/>
          <w:sz w:val="32"/>
          <w:szCs w:val="32"/>
          <w14:textFill>
            <w14:solidFill>
              <w14:schemeClr w14:val="tx1"/>
            </w14:solidFill>
          </w14:textFill>
        </w:rPr>
        <w:t>提案</w:t>
      </w:r>
      <w:r>
        <w:rPr>
          <w:rFonts w:hint="eastAsia" w:ascii="楷体_GB2312" w:hAnsi="楷体" w:eastAsia="楷体_GB2312" w:cs="楷体"/>
          <w:bCs/>
          <w:color w:val="000000" w:themeColor="text1"/>
          <w:sz w:val="32"/>
          <w:szCs w:val="32"/>
          <w14:textFill>
            <w14:solidFill>
              <w14:schemeClr w14:val="tx1"/>
            </w14:solidFill>
          </w14:textFill>
        </w:rPr>
        <w:t>名称：</w:t>
      </w:r>
      <w:r>
        <w:rPr>
          <w:rFonts w:hint="eastAsia" w:ascii="楷体_GB2312" w:hAnsi="inherit" w:eastAsia="楷体_GB2312"/>
          <w:sz w:val="32"/>
          <w:szCs w:val="32"/>
        </w:rPr>
        <w:t>关于增加我旗公立医院财政拨款的提案</w:t>
      </w:r>
    </w:p>
    <w:p w14:paraId="15076C03">
      <w:pPr>
        <w:spacing w:line="600" w:lineRule="exact"/>
        <w:rPr>
          <w:rFonts w:ascii="楷体_GB2312" w:hAnsi="楷体" w:eastAsia="楷体_GB2312" w:cs="楷体"/>
          <w:sz w:val="32"/>
          <w:szCs w:val="32"/>
        </w:rPr>
      </w:pPr>
      <w:r>
        <w:rPr>
          <w:rFonts w:hint="eastAsia" w:ascii="楷体_GB2312" w:hAnsi="楷体" w:eastAsia="楷体_GB2312" w:cs="楷体"/>
          <w:sz w:val="32"/>
          <w:szCs w:val="32"/>
        </w:rPr>
        <w:t xml:space="preserve">提 案 </w:t>
      </w:r>
      <w:r>
        <w:rPr>
          <w:rFonts w:hint="eastAsia" w:ascii="楷体_GB2312" w:hAnsi="楷体" w:eastAsia="楷体_GB2312" w:cs="楷体"/>
          <w:bCs/>
          <w:sz w:val="32"/>
          <w:szCs w:val="32"/>
        </w:rPr>
        <w:t>人</w:t>
      </w:r>
      <w:r>
        <w:rPr>
          <w:rFonts w:hint="eastAsia" w:ascii="楷体_GB2312" w:hAnsi="楷体" w:eastAsia="楷体_GB2312" w:cs="楷体"/>
          <w:sz w:val="32"/>
          <w:szCs w:val="32"/>
        </w:rPr>
        <w:t>：张爱民</w:t>
      </w:r>
    </w:p>
    <w:p w14:paraId="64C387D9">
      <w:pPr>
        <w:spacing w:line="600" w:lineRule="exact"/>
        <w:rPr>
          <w:rFonts w:ascii="楷体_GB2312" w:hAnsi="楷体" w:eastAsia="楷体_GB2312" w:cs="楷体"/>
          <w:bCs/>
          <w:sz w:val="32"/>
          <w:szCs w:val="32"/>
        </w:rPr>
      </w:pPr>
      <w:r>
        <w:rPr>
          <w:rFonts w:hint="eastAsia" w:ascii="楷体_GB2312" w:hAnsi="楷体" w:eastAsia="楷体_GB2312" w:cs="楷体"/>
          <w:bCs/>
          <w:sz w:val="32"/>
          <w:szCs w:val="32"/>
        </w:rPr>
        <w:t>联</w:t>
      </w:r>
      <w:r>
        <w:rPr>
          <w:rFonts w:hint="eastAsia" w:ascii="楷体_GB2312" w:hAnsi="楷体" w:eastAsia="楷体_GB2312" w:cs="楷体"/>
          <w:sz w:val="32"/>
          <w:szCs w:val="32"/>
        </w:rPr>
        <w:t>系</w:t>
      </w:r>
      <w:r>
        <w:rPr>
          <w:rFonts w:hint="eastAsia" w:ascii="楷体_GB2312" w:hAnsi="楷体" w:eastAsia="楷体_GB2312" w:cs="楷体"/>
          <w:bCs/>
          <w:sz w:val="32"/>
          <w:szCs w:val="32"/>
        </w:rPr>
        <w:t>方式：</w:t>
      </w:r>
      <w:r>
        <w:rPr>
          <w:rFonts w:ascii="楷体_GB2312" w:hAnsi="楷体" w:eastAsia="楷体_GB2312" w:cs="楷体"/>
          <w:bCs/>
          <w:sz w:val="32"/>
          <w:szCs w:val="32"/>
        </w:rPr>
        <w:t>13947622753</w:t>
      </w:r>
    </w:p>
    <w:p w14:paraId="2708D5C0">
      <w:pPr>
        <w:spacing w:line="600" w:lineRule="exact"/>
        <w:rPr>
          <w:rFonts w:ascii="楷体_GB2312" w:hAnsi="楷体" w:eastAsia="楷体_GB2312" w:cs="楷体"/>
          <w:bCs/>
          <w:sz w:val="32"/>
          <w:szCs w:val="32"/>
        </w:rPr>
      </w:pPr>
      <w:r>
        <w:rPr>
          <w:rFonts w:hint="eastAsia" w:ascii="楷体_GB2312" w:hAnsi="楷体" w:eastAsia="楷体_GB2312" w:cs="楷体"/>
          <w:bCs/>
          <w:sz w:val="32"/>
          <w:szCs w:val="32"/>
        </w:rPr>
        <w:t>界    别：医药卫生</w:t>
      </w:r>
    </w:p>
    <w:p w14:paraId="63BF8B2D">
      <w:pPr>
        <w:spacing w:line="600" w:lineRule="exact"/>
        <w:jc w:val="center"/>
        <w:rPr>
          <w:rFonts w:hint="eastAsia" w:ascii="方正小标宋简体" w:hAnsi="inherit" w:eastAsia="方正小标宋简体"/>
          <w:sz w:val="44"/>
          <w:szCs w:val="44"/>
        </w:rPr>
      </w:pPr>
      <w:r>
        <w:rPr>
          <w:rFonts w:hint="eastAsia" w:ascii="方正小标宋简体" w:hAnsi="inherit" w:eastAsia="方正小标宋简体"/>
          <w:sz w:val="44"/>
          <w:szCs w:val="44"/>
        </w:rPr>
        <w:t>关于增加我旗公立医院财政拨款的提案</w:t>
      </w:r>
    </w:p>
    <w:p w14:paraId="31448E1E">
      <w:pPr>
        <w:spacing w:line="600" w:lineRule="exact"/>
        <w:rPr>
          <w:rFonts w:ascii="黑体" w:hAnsi="黑体" w:eastAsia="黑体"/>
          <w:sz w:val="32"/>
          <w:szCs w:val="32"/>
        </w:rPr>
      </w:pPr>
    </w:p>
    <w:p w14:paraId="16E6C3FA">
      <w:pPr>
        <w:spacing w:line="600" w:lineRule="exact"/>
        <w:rPr>
          <w:rFonts w:ascii="楷体_GB2312" w:hAnsi="楷体" w:eastAsia="楷体_GB2312" w:cs="楷体"/>
          <w:bCs/>
          <w:sz w:val="32"/>
          <w:szCs w:val="32"/>
        </w:rPr>
      </w:pPr>
      <w:r>
        <w:rPr>
          <w:rFonts w:ascii="黑体" w:hAnsi="黑体" w:eastAsia="黑体"/>
          <w:sz w:val="32"/>
          <w:szCs w:val="32"/>
        </w:rPr>
        <w:t>一、案由</w:t>
      </w:r>
    </w:p>
    <w:p w14:paraId="11B6D4D3">
      <w:pPr>
        <w:pStyle w:val="11"/>
        <w:spacing w:beforeAutospacing="0" w:afterAutospacing="0"/>
        <w:ind w:firstLine="480" w:firstLineChars="150"/>
        <w:rPr>
          <w:rFonts w:ascii="仿宋_GB2312" w:eastAsia="仿宋_GB2312"/>
          <w:sz w:val="32"/>
          <w:szCs w:val="32"/>
        </w:rPr>
      </w:pPr>
      <w:r>
        <w:rPr>
          <w:rFonts w:hint="eastAsia" w:ascii="仿宋_GB2312" w:eastAsia="仿宋_GB2312"/>
          <w:sz w:val="32"/>
          <w:szCs w:val="32"/>
        </w:rPr>
        <w:t>我旗公立医院作为本地区重要的医疗机构，承担着大量的医疗服务、疾病预防等工作任务。然而，随着医疗需求的不断增长、医疗技术的不断进步以及医院运营成本的不断上升，医院目前面临着较大的财政压力，严重影响了医院的正常运转和发展。因此，为了进一步提升医院的医疗服务水平，保障人民群众的健康权益，特提出增加公立医院财政拨款的提案。</w:t>
      </w:r>
    </w:p>
    <w:p w14:paraId="1E2F46B3">
      <w:pPr>
        <w:pStyle w:val="11"/>
        <w:spacing w:beforeAutospacing="0" w:afterAutospacing="0"/>
        <w:ind w:firstLine="480" w:firstLineChars="150"/>
        <w:rPr>
          <w:rFonts w:ascii="黑体" w:hAnsi="黑体" w:eastAsia="黑体"/>
          <w:sz w:val="32"/>
          <w:szCs w:val="32"/>
        </w:rPr>
      </w:pPr>
      <w:r>
        <w:rPr>
          <w:rFonts w:ascii="黑体" w:hAnsi="黑体" w:eastAsia="黑体"/>
          <w:sz w:val="32"/>
          <w:szCs w:val="32"/>
        </w:rPr>
        <w:t>二、现状分析</w:t>
      </w:r>
    </w:p>
    <w:p w14:paraId="176FA6CA">
      <w:pPr>
        <w:pStyle w:val="11"/>
        <w:spacing w:beforeAutospacing="0" w:afterAutospacing="0"/>
        <w:ind w:firstLine="480" w:firstLineChars="150"/>
        <w:rPr>
          <w:rFonts w:ascii="仿宋_GB2312" w:eastAsia="仿宋_GB2312"/>
          <w:sz w:val="32"/>
          <w:szCs w:val="32"/>
        </w:rPr>
      </w:pPr>
      <w:r>
        <w:rPr>
          <w:rFonts w:hint="eastAsia" w:ascii="楷体_GB2312" w:hAnsi="inherit" w:eastAsia="楷体_GB2312"/>
          <w:sz w:val="32"/>
          <w:szCs w:val="32"/>
        </w:rPr>
        <w:t>（一）医疗服务需求增长与资源不足的矛盾</w:t>
      </w:r>
      <w:r>
        <w:rPr>
          <w:rFonts w:hint="eastAsia" w:ascii="楷体_GB2312" w:hAnsi="inherit" w:eastAsia="楷体_GB2312"/>
        </w:rPr>
        <w:t>。</w:t>
      </w:r>
      <w:r>
        <w:rPr>
          <w:rFonts w:hint="eastAsia" w:ascii="仿宋_GB2312" w:eastAsia="仿宋_GB2312"/>
          <w:sz w:val="32"/>
          <w:szCs w:val="32"/>
        </w:rPr>
        <w:t>随着本地区老龄化程度的加深以及居民健康意识的提高，就医人数逐年增加，医院的门诊量和住院人数持续攀升。然而，医院的基础设施、医疗设备等硬件资源相对有限，难以满足日益增长的医疗服务需求。</w:t>
      </w:r>
    </w:p>
    <w:p w14:paraId="111119C6">
      <w:pPr>
        <w:pStyle w:val="11"/>
        <w:spacing w:beforeAutospacing="0" w:afterAutospacing="0"/>
        <w:ind w:firstLine="480" w:firstLineChars="150"/>
        <w:rPr>
          <w:rFonts w:ascii="仿宋_GB2312" w:eastAsia="仿宋_GB2312"/>
          <w:sz w:val="32"/>
          <w:szCs w:val="32"/>
        </w:rPr>
      </w:pPr>
      <w:r>
        <w:rPr>
          <w:rFonts w:hint="eastAsia" w:ascii="楷体_GB2312" w:hAnsi="inherit" w:eastAsia="楷体_GB2312"/>
          <w:sz w:val="32"/>
          <w:szCs w:val="32"/>
        </w:rPr>
        <w:t>（二）医疗技术进步带来的成本上升。</w:t>
      </w:r>
      <w:r>
        <w:rPr>
          <w:rFonts w:hint="eastAsia" w:ascii="仿宋_GB2312" w:eastAsia="仿宋_GB2312"/>
          <w:sz w:val="32"/>
          <w:szCs w:val="32"/>
        </w:rPr>
        <w:t>为了提高医疗质量，医院不断引进先进的医疗技术和设备，培养高素质的医疗人才。这些都需要大量的资金投入。新的医疗技术和设备不仅购置成本高，而且后续的维护、更新费用也不菲。同时，医疗人才的培养需要投入大量的时间和资源，包括进修培训、学术交流等，这也增加了医院的运营成本。</w:t>
      </w:r>
    </w:p>
    <w:p w14:paraId="47EED5CD">
      <w:pPr>
        <w:pStyle w:val="11"/>
        <w:spacing w:beforeAutospacing="0" w:afterAutospacing="0"/>
        <w:ind w:firstLine="480" w:firstLineChars="150"/>
        <w:rPr>
          <w:rFonts w:ascii="仿宋_GB2312" w:eastAsia="仿宋_GB2312"/>
          <w:sz w:val="32"/>
          <w:szCs w:val="32"/>
        </w:rPr>
      </w:pPr>
      <w:r>
        <w:rPr>
          <w:rFonts w:hint="eastAsia" w:ascii="楷体_GB2312" w:hAnsi="inherit" w:eastAsia="楷体_GB2312"/>
          <w:sz w:val="32"/>
          <w:szCs w:val="32"/>
        </w:rPr>
        <w:t>（三）医院运营成本增加。</w:t>
      </w:r>
      <w:r>
        <w:rPr>
          <w:rFonts w:hint="eastAsia" w:ascii="仿宋_GB2312" w:eastAsia="仿宋_GB2312"/>
          <w:sz w:val="32"/>
          <w:szCs w:val="32"/>
        </w:rPr>
        <w:t>近年来，药品、耗材等医疗物资价格上涨，医院的水电费、物业管理费等日常运营费用也在逐年增加，人力成本也不断提高，以旗医院、中蒙医院为例，这二所医院的财政拨款是在2015年旗财政局委托赤峰万泰华会计师事务所综合测算，依据当时医院现有人员及单位财务状况所核定的拨款数额，现在，这二所医院人员增加了差不多一倍，工资、保险、公积金大幅增加，但财政拨款近十年没有增加，而且，三年的新冠疫情，医院抽调大量医务人员承担全旗防疫工作，影响了医院业务收入，新冠防疫又占用医院本来有限的资金。因此，在现有财政拨款的情况下，医院的收支平衡面临巨大压力，这严重制约了医院的发展。</w:t>
      </w:r>
    </w:p>
    <w:p w14:paraId="4EB28E70">
      <w:pPr>
        <w:pStyle w:val="11"/>
        <w:spacing w:beforeAutospacing="0" w:afterAutospacing="0"/>
        <w:ind w:firstLine="480" w:firstLineChars="150"/>
        <w:rPr>
          <w:rFonts w:ascii="黑体" w:hAnsi="黑体" w:eastAsia="黑体"/>
          <w:sz w:val="32"/>
          <w:szCs w:val="32"/>
        </w:rPr>
      </w:pPr>
      <w:r>
        <w:rPr>
          <w:rFonts w:ascii="黑体" w:hAnsi="黑体" w:eastAsia="黑体"/>
          <w:sz w:val="32"/>
          <w:szCs w:val="32"/>
        </w:rPr>
        <w:t>三、增加财政拨款的必要性</w:t>
      </w:r>
    </w:p>
    <w:p w14:paraId="70321704">
      <w:pPr>
        <w:pStyle w:val="11"/>
        <w:spacing w:beforeAutospacing="0" w:afterAutospacing="0"/>
        <w:ind w:firstLine="480" w:firstLineChars="150"/>
        <w:rPr>
          <w:rFonts w:ascii="仿宋_GB2312" w:eastAsia="仿宋_GB2312"/>
          <w:sz w:val="32"/>
          <w:szCs w:val="32"/>
        </w:rPr>
      </w:pPr>
      <w:r>
        <w:rPr>
          <w:rFonts w:hint="eastAsia" w:ascii="楷体_GB2312" w:hAnsi="inherit" w:eastAsia="楷体_GB2312"/>
          <w:sz w:val="32"/>
          <w:szCs w:val="32"/>
        </w:rPr>
        <w:t>（一）提升医疗服务水平</w:t>
      </w:r>
      <w:r>
        <w:rPr>
          <w:rFonts w:hint="eastAsia" w:ascii="楷体_GB2312" w:hAnsi="inherit" w:eastAsia="楷体_GB2312"/>
        </w:rPr>
        <w:t>。</w:t>
      </w:r>
      <w:r>
        <w:rPr>
          <w:rFonts w:hint="eastAsia" w:ascii="仿宋_GB2312" w:eastAsia="仿宋_GB2312"/>
          <w:sz w:val="32"/>
          <w:szCs w:val="32"/>
        </w:rPr>
        <w:t>增加财政拨款可以使医院有足够的资金用于改善基础设施、购置先进的医疗设备，提高医院的硬件水平。同时，医院可以利用这笔资金加强医疗人才队伍建设，吸引和留住更多优秀的医疗人才，从而提升医院的医疗服务水平，为患者提供更加优质、高效的医疗服务。</w:t>
      </w:r>
    </w:p>
    <w:p w14:paraId="56AE443C">
      <w:pPr>
        <w:pStyle w:val="11"/>
        <w:spacing w:beforeAutospacing="0" w:afterAutospacing="0"/>
        <w:ind w:firstLine="480" w:firstLineChars="150"/>
        <w:rPr>
          <w:rFonts w:ascii="仿宋_GB2312" w:eastAsia="仿宋_GB2312"/>
          <w:sz w:val="32"/>
          <w:szCs w:val="32"/>
        </w:rPr>
      </w:pPr>
      <w:r>
        <w:rPr>
          <w:rFonts w:hint="eastAsia" w:ascii="楷体_GB2312" w:hAnsi="inherit" w:eastAsia="楷体_GB2312"/>
          <w:sz w:val="32"/>
          <w:szCs w:val="32"/>
        </w:rPr>
        <w:t>（二）履行社会责任</w:t>
      </w:r>
      <w:r>
        <w:rPr>
          <w:rFonts w:hint="eastAsia" w:ascii="楷体_GB2312" w:eastAsia="楷体_GB2312"/>
          <w:sz w:val="32"/>
          <w:szCs w:val="32"/>
        </w:rPr>
        <w:t>公立医院。</w:t>
      </w:r>
      <w:r>
        <w:rPr>
          <w:rFonts w:hint="eastAsia" w:ascii="仿宋_GB2312" w:eastAsia="仿宋_GB2312"/>
          <w:sz w:val="32"/>
          <w:szCs w:val="32"/>
        </w:rPr>
        <w:t>作为本地区的重要医疗机构，承担着大量的社会责任，如突发公共卫生事件的应急处置、贫困患者的医疗救助、社区卫生服务等。增加财政拨款可以使医院更好地履行这些社会责任，保障人民群众的生命健康安全，维护社会稳定。</w:t>
      </w:r>
    </w:p>
    <w:p w14:paraId="23E298FE">
      <w:pPr>
        <w:pStyle w:val="11"/>
        <w:spacing w:beforeAutospacing="0" w:afterAutospacing="0"/>
        <w:ind w:firstLine="480" w:firstLineChars="150"/>
        <w:rPr>
          <w:rFonts w:ascii="黑体" w:hAnsi="黑体" w:eastAsia="黑体"/>
          <w:sz w:val="32"/>
          <w:szCs w:val="32"/>
        </w:rPr>
      </w:pPr>
      <w:r>
        <w:rPr>
          <w:rFonts w:ascii="黑体" w:hAnsi="黑体" w:eastAsia="黑体"/>
          <w:sz w:val="32"/>
          <w:szCs w:val="32"/>
        </w:rPr>
        <w:t>四、建议</w:t>
      </w:r>
    </w:p>
    <w:p w14:paraId="02930341">
      <w:pPr>
        <w:pStyle w:val="11"/>
        <w:spacing w:beforeAutospacing="0" w:afterAutospacing="0"/>
        <w:ind w:firstLine="480" w:firstLineChars="150"/>
        <w:rPr>
          <w:rFonts w:ascii="仿宋_GB2312" w:eastAsia="仿宋_GB2312"/>
          <w:color w:val="000000" w:themeColor="text1"/>
          <w:sz w:val="32"/>
          <w:szCs w:val="32"/>
          <w14:textFill>
            <w14:solidFill>
              <w14:schemeClr w14:val="tx1"/>
            </w14:solidFill>
          </w14:textFill>
        </w:rPr>
      </w:pPr>
      <w:r>
        <w:rPr>
          <w:rFonts w:hint="eastAsia" w:ascii="楷体_GB2312" w:hAnsi="inherit" w:eastAsia="楷体_GB2312"/>
          <w:sz w:val="32"/>
          <w:szCs w:val="32"/>
        </w:rPr>
        <w:t>（一）加大财政投入力度。</w:t>
      </w:r>
      <w:r>
        <w:rPr>
          <w:rFonts w:hint="eastAsia" w:ascii="仿宋_GB2312" w:eastAsia="仿宋_GB2312"/>
          <w:color w:val="000000" w:themeColor="text1"/>
          <w:sz w:val="32"/>
          <w:szCs w:val="32"/>
          <w14:textFill>
            <w14:solidFill>
              <w14:schemeClr w14:val="tx1"/>
            </w14:solidFill>
          </w14:textFill>
        </w:rPr>
        <w:t>政府应根据医院的实际需求和发展规划，合理确定财政拨款的增长幅度，确保医院的财政拨款能够与医疗服务需求、医疗成本增长等因素相适应。建议在未来10年内，每年增加20%的财政拨款，以缓解医院的资金压力。</w:t>
      </w:r>
    </w:p>
    <w:p w14:paraId="0249F465">
      <w:pPr>
        <w:pStyle w:val="11"/>
        <w:spacing w:beforeAutospacing="0" w:afterAutospacing="0"/>
        <w:ind w:firstLine="480" w:firstLineChars="150"/>
        <w:rPr>
          <w:rFonts w:ascii="仿宋_GB2312" w:eastAsia="仿宋_GB2312"/>
          <w:sz w:val="32"/>
          <w:szCs w:val="32"/>
        </w:rPr>
      </w:pPr>
      <w:r>
        <w:rPr>
          <w:rFonts w:hint="eastAsia" w:ascii="楷体_GB2312" w:hAnsi="inherit" w:eastAsia="楷体_GB2312"/>
          <w:sz w:val="32"/>
          <w:szCs w:val="32"/>
        </w:rPr>
        <w:t>（二）设立专项拨款项目</w:t>
      </w:r>
      <w:r>
        <w:rPr>
          <w:rFonts w:hint="eastAsia" w:ascii="楷体_GB2312" w:hAnsi="inherit" w:eastAsia="楷体_GB2312"/>
        </w:rPr>
        <w:t>。</w:t>
      </w:r>
      <w:r>
        <w:rPr>
          <w:rFonts w:hint="eastAsia" w:ascii="仿宋_GB2312" w:eastAsia="仿宋_GB2312"/>
          <w:sz w:val="32"/>
          <w:szCs w:val="32"/>
        </w:rPr>
        <w:t>针对医院的重点发展领域，如学科建设、人才培养、科研创新等，设立专项拨款项目。政府应根据医院的申报情况和实际需求，给予相应的资金支持，引导医院合理使用资金，提高资金的使用效益。</w:t>
      </w:r>
    </w:p>
    <w:p w14:paraId="61CBE87A">
      <w:pPr>
        <w:pStyle w:val="11"/>
        <w:spacing w:beforeAutospacing="0" w:afterAutospacing="0"/>
        <w:ind w:firstLine="480" w:firstLineChars="150"/>
        <w:rPr>
          <w:rFonts w:ascii="仿宋_GB2312" w:eastAsia="仿宋_GB2312"/>
          <w:sz w:val="32"/>
          <w:szCs w:val="32"/>
        </w:rPr>
      </w:pPr>
      <w:r>
        <w:rPr>
          <w:rFonts w:hint="eastAsia" w:ascii="楷体_GB2312" w:hAnsi="inherit" w:eastAsia="楷体_GB2312"/>
          <w:sz w:val="32"/>
          <w:szCs w:val="32"/>
        </w:rPr>
        <w:t>（三）建立财政拨款的长效机制</w:t>
      </w:r>
      <w:r>
        <w:rPr>
          <w:rFonts w:hint="eastAsia" w:ascii="楷体_GB2312" w:hAnsi="inherit" w:eastAsia="楷体_GB2312"/>
        </w:rPr>
        <w:t>。</w:t>
      </w:r>
      <w:r>
        <w:rPr>
          <w:rFonts w:hint="eastAsia" w:ascii="仿宋_GB2312" w:eastAsia="仿宋_GB2312"/>
          <w:color w:val="000000" w:themeColor="text1"/>
          <w:sz w:val="32"/>
          <w:szCs w:val="32"/>
          <w14:textFill>
            <w14:solidFill>
              <w14:schemeClr w14:val="tx1"/>
            </w14:solidFill>
          </w14:textFill>
        </w:rPr>
        <w:t>为了保障医院财政拨款的稳定性和可持续性，政府应建立健全财政拨款的长效机制。明确财政拨款的标准和程序，加强对财政拨款使用情况的监督和管理，确保财政拨款能够真正用于医院的发展和建设。</w:t>
      </w:r>
    </w:p>
    <w:p w14:paraId="0E04B4C8">
      <w:pPr>
        <w:rPr>
          <w:rFonts w:ascii="楷体_GB2312" w:hAnsi="楷体_GB2312" w:eastAsia="楷体_GB2312" w:cs="楷体_GB2312"/>
          <w:sz w:val="32"/>
          <w:szCs w:val="32"/>
        </w:rPr>
      </w:pPr>
    </w:p>
    <w:p w14:paraId="0EFAAF56">
      <w:pPr>
        <w:rPr>
          <w:rFonts w:ascii="楷体_GB2312" w:hAnsi="楷体_GB2312" w:eastAsia="楷体_GB2312" w:cs="楷体_GB2312"/>
          <w:sz w:val="32"/>
          <w:szCs w:val="32"/>
        </w:rPr>
      </w:pPr>
    </w:p>
    <w:p w14:paraId="7A5448A2">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提案编号:007</w:t>
      </w:r>
    </w:p>
    <w:p w14:paraId="17151A8A">
      <w:pPr>
        <w:spacing w:line="580" w:lineRule="exact"/>
        <w:ind w:left="1600" w:hanging="1600" w:hangingChars="500"/>
        <w:jc w:val="left"/>
        <w:rPr>
          <w:rFonts w:ascii="楷体_GB2312" w:hAnsi="Times New Roman" w:eastAsia="楷体_GB2312"/>
          <w:sz w:val="32"/>
          <w:szCs w:val="32"/>
        </w:rPr>
      </w:pPr>
      <w:r>
        <w:rPr>
          <w:rFonts w:hint="eastAsia" w:ascii="楷体_GB2312" w:hAnsi="楷体_GB2312" w:eastAsia="楷体_GB2312" w:cs="楷体_GB2312"/>
          <w:sz w:val="32"/>
          <w:szCs w:val="32"/>
        </w:rPr>
        <w:t>提案名称:</w:t>
      </w:r>
      <w:r>
        <w:rPr>
          <w:rFonts w:hint="eastAsia" w:ascii="楷体_GB2312" w:hAnsi="Times New Roman" w:eastAsia="楷体_GB2312"/>
          <w:sz w:val="32"/>
          <w:szCs w:val="32"/>
        </w:rPr>
        <w:t>关于织密预防未成年人犯罪防护网构建预防未成年人犯罪大格局的提案</w:t>
      </w:r>
    </w:p>
    <w:p w14:paraId="4DA161F4">
      <w:pPr>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人:郑丽丽</w:t>
      </w:r>
    </w:p>
    <w:p w14:paraId="14472811">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联系方式：13664764968</w:t>
      </w:r>
    </w:p>
    <w:p w14:paraId="1FBD064D">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别:社会科学</w:t>
      </w:r>
    </w:p>
    <w:p w14:paraId="45F7B322">
      <w:pPr>
        <w:spacing w:line="58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关于织密预防未成年人犯罪防护网构建预防未成年人犯罪大格局的提案</w:t>
      </w:r>
    </w:p>
    <w:p w14:paraId="546F3060">
      <w:pPr>
        <w:spacing w:line="240" w:lineRule="exact"/>
        <w:jc w:val="center"/>
        <w:rPr>
          <w:rFonts w:ascii="Times New Roman" w:hAnsi="Times New Roman" w:eastAsia="楷体_GB2312"/>
          <w:sz w:val="32"/>
          <w:szCs w:val="32"/>
        </w:rPr>
      </w:pPr>
    </w:p>
    <w:p w14:paraId="60AF43A2">
      <w:pPr>
        <w:spacing w:line="240" w:lineRule="exact"/>
        <w:rPr>
          <w:rFonts w:ascii="Times New Roman" w:hAnsi="Times New Roman" w:eastAsia="仿宋_GB2312"/>
          <w:sz w:val="32"/>
          <w:szCs w:val="32"/>
        </w:rPr>
      </w:pPr>
    </w:p>
    <w:p w14:paraId="5214905E">
      <w:pPr>
        <w:spacing w:line="560" w:lineRule="exact"/>
        <w:ind w:firstLine="640" w:firstLineChars="200"/>
        <w:rPr>
          <w:rFonts w:ascii="Times New Roman" w:hAnsi="Times New Roman" w:eastAsia="仿宋_GB2312"/>
          <w:sz w:val="32"/>
          <w:szCs w:val="32"/>
        </w:rPr>
      </w:pPr>
      <w:r>
        <w:rPr>
          <w:rFonts w:hint="eastAsia" w:ascii="仿宋_GB2312" w:hAnsi="仿宋_GB2312" w:eastAsia="仿宋_GB2312" w:cs="仿宋_GB2312"/>
          <w:sz w:val="32"/>
          <w:szCs w:val="32"/>
        </w:rPr>
        <w:t>近年来我旗未成年人犯罪呈逐年上升态势。</w:t>
      </w:r>
      <w:r>
        <w:rPr>
          <w:rFonts w:hint="eastAsia" w:ascii="Times New Roman" w:hAnsi="Times New Roman" w:eastAsia="仿宋_GB2312"/>
          <w:sz w:val="32"/>
          <w:szCs w:val="32"/>
        </w:rPr>
        <w:t>为有效预防和减少未成年人违法犯罪，宜努力做实“六大保护”，盯住重点人、重点场所、重点环节，筑牢学校、家庭、社会三位一体的防护网，从源头上预防和减少青少年违法犯罪的发生。</w:t>
      </w:r>
    </w:p>
    <w:p w14:paraId="3EDED778">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一、全旗未成年人犯罪总体情况及特点</w:t>
      </w:r>
    </w:p>
    <w:p w14:paraId="271DF44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2022</w:t>
      </w:r>
      <w:r>
        <w:rPr>
          <w:rFonts w:hint="eastAsia" w:ascii="Times New Roman" w:hAnsi="Times New Roman" w:eastAsia="仿宋_GB2312"/>
          <w:sz w:val="32"/>
          <w:szCs w:val="32"/>
        </w:rPr>
        <w:t>—</w:t>
      </w:r>
      <w:r>
        <w:rPr>
          <w:rFonts w:ascii="Times New Roman" w:hAnsi="Times New Roman" w:eastAsia="仿宋_GB2312"/>
          <w:sz w:val="32"/>
          <w:szCs w:val="32"/>
        </w:rPr>
        <w:t>2024</w:t>
      </w:r>
      <w:r>
        <w:rPr>
          <w:rFonts w:hint="eastAsia" w:ascii="Times New Roman" w:hAnsi="Times New Roman" w:eastAsia="仿宋_GB2312"/>
          <w:sz w:val="32"/>
          <w:szCs w:val="32"/>
        </w:rPr>
        <w:t>年喀喇沁旗人民检察院共受理审查起诉未成年人犯罪</w:t>
      </w:r>
      <w:r>
        <w:rPr>
          <w:rFonts w:ascii="Times New Roman" w:hAnsi="Times New Roman" w:eastAsia="仿宋_GB2312"/>
          <w:sz w:val="32"/>
          <w:szCs w:val="32"/>
        </w:rPr>
        <w:t>75</w:t>
      </w:r>
      <w:r>
        <w:rPr>
          <w:rFonts w:hint="eastAsia" w:ascii="Times New Roman" w:hAnsi="Times New Roman" w:eastAsia="仿宋_GB2312"/>
          <w:sz w:val="32"/>
          <w:szCs w:val="32"/>
        </w:rPr>
        <w:t>件</w:t>
      </w:r>
      <w:r>
        <w:rPr>
          <w:rFonts w:ascii="Times New Roman" w:hAnsi="Times New Roman" w:eastAsia="仿宋_GB2312"/>
          <w:sz w:val="32"/>
          <w:szCs w:val="32"/>
        </w:rPr>
        <w:t>105</w:t>
      </w:r>
      <w:r>
        <w:rPr>
          <w:rFonts w:hint="eastAsia" w:ascii="Times New Roman" w:hAnsi="Times New Roman" w:eastAsia="仿宋_GB2312"/>
          <w:sz w:val="32"/>
          <w:szCs w:val="32"/>
        </w:rPr>
        <w:t>人案件，对未成年犯罪嫌疑人起诉86件，不起诉</w:t>
      </w:r>
      <w:r>
        <w:rPr>
          <w:rFonts w:ascii="Times New Roman" w:hAnsi="Times New Roman" w:eastAsia="仿宋_GB2312"/>
          <w:sz w:val="32"/>
          <w:szCs w:val="32"/>
        </w:rPr>
        <w:t>19</w:t>
      </w:r>
      <w:r>
        <w:rPr>
          <w:rFonts w:hint="eastAsia" w:ascii="Times New Roman" w:hAnsi="Times New Roman" w:eastAsia="仿宋_GB2312"/>
          <w:sz w:val="32"/>
          <w:szCs w:val="32"/>
        </w:rPr>
        <w:t>人。本地区未成年人犯罪呈现出的特点如下：</w:t>
      </w:r>
    </w:p>
    <w:p w14:paraId="4800D236">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（一）未成年人犯罪案件数量逐年增多。</w:t>
      </w:r>
      <w:r>
        <w:rPr>
          <w:rFonts w:hint="eastAsia" w:ascii="Times New Roman" w:hAnsi="Times New Roman" w:eastAsia="仿宋_GB2312"/>
          <w:sz w:val="32"/>
          <w:szCs w:val="32"/>
        </w:rPr>
        <w:t>未成年人犯罪案件呈现逐年上升态势且罪名相对集中，侵犯财产类和社会管理秩序类犯罪较为突出，全旗未成年人犯罪主要集中在盗窃罪、寻衅滋事罪、强奸罪、故意伤害罪等罪名中，占全部案件的</w:t>
      </w:r>
      <w:r>
        <w:rPr>
          <w:rFonts w:ascii="Times New Roman" w:hAnsi="Times New Roman" w:eastAsia="仿宋_GB2312"/>
          <w:sz w:val="32"/>
          <w:szCs w:val="32"/>
        </w:rPr>
        <w:t>80%</w:t>
      </w:r>
      <w:r>
        <w:rPr>
          <w:rFonts w:hint="eastAsia" w:ascii="Times New Roman" w:hAnsi="Times New Roman" w:eastAsia="仿宋_GB2312"/>
          <w:sz w:val="32"/>
          <w:szCs w:val="32"/>
        </w:rPr>
        <w:t>左右。</w:t>
      </w:r>
    </w:p>
    <w:p w14:paraId="15161755">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（二）低龄化犯罪及被侵害呈现出上升趋势。</w:t>
      </w:r>
      <w:r>
        <w:rPr>
          <w:rFonts w:hint="eastAsia" w:ascii="Times New Roman" w:hAnsi="Times New Roman" w:eastAsia="仿宋_GB2312"/>
          <w:sz w:val="32"/>
          <w:szCs w:val="32"/>
        </w:rPr>
        <w:t>以性侵犯罪为例，过去未成年人性侵犯罪年龄集中在</w:t>
      </w:r>
      <w:r>
        <w:rPr>
          <w:rFonts w:ascii="Times New Roman" w:hAnsi="Times New Roman" w:eastAsia="仿宋_GB2312"/>
          <w:sz w:val="32"/>
          <w:szCs w:val="32"/>
        </w:rPr>
        <w:t>16</w:t>
      </w:r>
      <w:r>
        <w:rPr>
          <w:rFonts w:hint="eastAsia" w:ascii="Times New Roman" w:hAnsi="Times New Roman" w:eastAsia="仿宋_GB2312"/>
          <w:sz w:val="32"/>
          <w:szCs w:val="32"/>
        </w:rPr>
        <w:t>周岁以上。但近几年来，</w:t>
      </w:r>
      <w:r>
        <w:rPr>
          <w:rFonts w:ascii="Times New Roman" w:hAnsi="Times New Roman" w:eastAsia="仿宋_GB2312"/>
          <w:sz w:val="32"/>
          <w:szCs w:val="32"/>
        </w:rPr>
        <w:t>14-16</w:t>
      </w:r>
      <w:r>
        <w:rPr>
          <w:rFonts w:hint="eastAsia" w:ascii="Times New Roman" w:hAnsi="Times New Roman" w:eastAsia="仿宋_GB2312"/>
          <w:sz w:val="32"/>
          <w:szCs w:val="32"/>
        </w:rPr>
        <w:t>周岁犯罪人数有所增加。被害人中，年龄最小的只有</w:t>
      </w:r>
      <w:r>
        <w:rPr>
          <w:rFonts w:ascii="Times New Roman" w:hAnsi="Times New Roman" w:eastAsia="仿宋_GB2312"/>
          <w:sz w:val="32"/>
          <w:szCs w:val="32"/>
        </w:rPr>
        <w:t>7</w:t>
      </w:r>
      <w:r>
        <w:rPr>
          <w:rFonts w:hint="eastAsia" w:ascii="Times New Roman" w:hAnsi="Times New Roman" w:eastAsia="仿宋_GB2312"/>
          <w:sz w:val="32"/>
          <w:szCs w:val="32"/>
        </w:rPr>
        <w:t>岁，最大的也只有</w:t>
      </w:r>
      <w:r>
        <w:rPr>
          <w:rFonts w:ascii="Times New Roman" w:hAnsi="Times New Roman" w:eastAsia="仿宋_GB2312"/>
          <w:sz w:val="32"/>
          <w:szCs w:val="32"/>
        </w:rPr>
        <w:t>14</w:t>
      </w:r>
      <w:r>
        <w:rPr>
          <w:rFonts w:hint="eastAsia" w:ascii="Times New Roman" w:hAnsi="Times New Roman" w:eastAsia="仿宋_GB2312"/>
          <w:sz w:val="32"/>
          <w:szCs w:val="32"/>
        </w:rPr>
        <w:t>岁。类型也由单一的强奸犯罪变为轮奸、公共场所强奸等严重情节的犯罪。</w:t>
      </w:r>
    </w:p>
    <w:p w14:paraId="6E77F7BD">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（三）未成年人犯罪向成年人犯罪趋同。</w:t>
      </w:r>
      <w:r>
        <w:rPr>
          <w:rFonts w:hint="eastAsia" w:ascii="Times New Roman" w:hAnsi="Times New Roman" w:eastAsia="仿宋_GB2312"/>
          <w:sz w:val="32"/>
          <w:szCs w:val="32"/>
        </w:rPr>
        <w:t>过去未成年人犯罪多为激情犯罪、突发性犯罪，而近几年却呈现出有预谋犯罪、手段和方式成人化的特点。如近年来未成年人涉嫌诈骗类犯罪中部分案件涉案数额甚至远超成年人犯罪数额。</w:t>
      </w:r>
    </w:p>
    <w:p w14:paraId="1C63F599">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（四）未成年犯罪的方式方法呈现多样性。</w:t>
      </w:r>
      <w:r>
        <w:rPr>
          <w:rFonts w:hint="eastAsia" w:ascii="Times New Roman" w:hAnsi="Times New Roman" w:eastAsia="仿宋_GB2312"/>
          <w:sz w:val="32"/>
          <w:szCs w:val="32"/>
        </w:rPr>
        <w:t>如盗窃罪中，未成年犯罪嫌疑人由原来的溜门入户盗窃、扒窃变为现在的拉车门盗窃。利用网络媒介实施犯罪增多。再如帮信犯罪中、多为利用“手机口”帮助上游犯罪实施引流行为。</w:t>
      </w:r>
    </w:p>
    <w:p w14:paraId="16BC9D5D">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二、未成年人犯罪预防中存在的问题</w:t>
      </w:r>
    </w:p>
    <w:p w14:paraId="573FFC04">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（一）未成年人保护的合力尚未形成。</w:t>
      </w:r>
      <w:r>
        <w:rPr>
          <w:rFonts w:hint="eastAsia" w:ascii="Times New Roman" w:hAnsi="Times New Roman" w:eastAsia="仿宋_GB2312"/>
          <w:sz w:val="32"/>
          <w:szCs w:val="32"/>
        </w:rPr>
        <w:t>从我旗现有情况看，负有未成年人保护职责的职能部门相对较多，职能相对分散，且各个部门之间未能有效、集中、统一行使未成年人保护职能，各部门协调联动的未成年人保护工作机制有待进一步落地落实。</w:t>
      </w:r>
    </w:p>
    <w:p w14:paraId="42100BBE">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（二）家庭教育缺位。</w:t>
      </w:r>
      <w:r>
        <w:rPr>
          <w:rFonts w:hint="eastAsia" w:ascii="Times New Roman" w:hAnsi="Times New Roman" w:eastAsia="仿宋_GB2312"/>
          <w:sz w:val="32"/>
          <w:szCs w:val="32"/>
        </w:rPr>
        <w:t>从案件的办理过程中发现，涉案未成年人的家庭以离异家庭、农村家庭、城里打工家庭子女为主。父母管教孩子的时间严重不足且方式单一，有部分家长甚至放弃对孩子进行管教，孩子处于自生自灭的状态。</w:t>
      </w:r>
    </w:p>
    <w:p w14:paraId="486CF71A">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（三）成长环境产生犯罪诱因。</w:t>
      </w:r>
      <w:r>
        <w:rPr>
          <w:rFonts w:hint="eastAsia" w:ascii="Times New Roman" w:hAnsi="Times New Roman" w:eastAsia="仿宋_GB2312"/>
          <w:sz w:val="32"/>
          <w:szCs w:val="32"/>
        </w:rPr>
        <w:t>未成年人犯罪行为背后折射出的社会环境、网络环境等方面存在的问题需引起重视。在办案中发现，未成年人犯罪嫌疑人多为他处习得方式方法、具备一定环境条件后才开始实施犯罪行为。如办理某“拉车门”盗窃案中发现，部分学生之间就流传着“拉车门盗窃方式来钱快，且不会被抓”“某某小区比较有钱”等说法。再如某涉嫌诈骗案的犯罪嫌疑人，通过快手、抖音等</w:t>
      </w:r>
      <w:r>
        <w:rPr>
          <w:rFonts w:ascii="Times New Roman" w:hAnsi="Times New Roman" w:eastAsia="仿宋_GB2312"/>
          <w:sz w:val="32"/>
          <w:szCs w:val="32"/>
        </w:rPr>
        <w:t>APP</w:t>
      </w:r>
      <w:r>
        <w:rPr>
          <w:rFonts w:hint="eastAsia" w:ascii="Times New Roman" w:hAnsi="Times New Roman" w:eastAsia="仿宋_GB2312"/>
          <w:sz w:val="32"/>
          <w:szCs w:val="32"/>
        </w:rPr>
        <w:t>学习了“手机口”的犯罪方法，继而开始从事为上游诈骗犯罪从事引流的行为。</w:t>
      </w:r>
    </w:p>
    <w:p w14:paraId="5279AF50">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（四）依据现有规定不能对未成年人进行有效帮教。</w:t>
      </w:r>
      <w:r>
        <w:rPr>
          <w:rFonts w:hint="eastAsia" w:ascii="Times New Roman" w:hAnsi="Times New Roman" w:eastAsia="仿宋_GB2312"/>
          <w:sz w:val="32"/>
          <w:szCs w:val="32"/>
        </w:rPr>
        <w:t>针对未达刑事责任年龄的未成年人单纯地给予行政处罚（不满</w:t>
      </w:r>
      <w:r>
        <w:rPr>
          <w:rFonts w:ascii="Times New Roman" w:hAnsi="Times New Roman" w:eastAsia="仿宋_GB2312"/>
          <w:sz w:val="32"/>
          <w:szCs w:val="32"/>
        </w:rPr>
        <w:t>16</w:t>
      </w:r>
      <w:r>
        <w:rPr>
          <w:rFonts w:hint="eastAsia" w:ascii="Times New Roman" w:hAnsi="Times New Roman" w:eastAsia="仿宋_GB2312"/>
          <w:sz w:val="32"/>
          <w:szCs w:val="32"/>
        </w:rPr>
        <w:t>周岁行政拘留不执行）仅是在形式上给予其一个处分，对其无法产生约束力，也没有震慑作用，有的未成年人行政处罚的次数甚至高达十几次。对于不捕不诉和附条件不起诉的未成年人没有统一的教育基地或者教育模式，无法有效预防其再次犯罪。针对判处缓刑的未成年人，在缓刑考验期内的帮教流于形式，无法对其进行有效监管，部分缓刑考验期内的未成年人会再次犯罪。上述群体存在较大的潜在危害性，一部分人会在短时间内再次犯罪，还有一部分人会在“案结事了”后、达到刑事责任年龄或者成年后再次犯罪。</w:t>
      </w:r>
    </w:p>
    <w:p w14:paraId="605BF462">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三、对预防未成年人犯罪的几点建议</w:t>
      </w:r>
    </w:p>
    <w:p w14:paraId="3636EB6D">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（一）努力形成预防未成年人犯罪的合力。</w:t>
      </w:r>
      <w:r>
        <w:rPr>
          <w:rFonts w:hint="eastAsia" w:ascii="Times New Roman" w:hAnsi="Times New Roman" w:eastAsia="仿宋_GB2312"/>
          <w:sz w:val="32"/>
          <w:szCs w:val="32"/>
        </w:rPr>
        <w:t>在现有未成年人保护的基础上，应具体、明确、细化各个涉及未成年人保护职责的单位的职能定位，促进家庭、学校、社会、网络、政府、司法保护主体多方联动、共同发力，形成未成年人保护合力。</w:t>
      </w:r>
    </w:p>
    <w:p w14:paraId="08FAFE5B">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（二）全方位加强家庭教育指导。</w:t>
      </w:r>
      <w:r>
        <w:rPr>
          <w:rFonts w:hint="eastAsia" w:ascii="Times New Roman" w:hAnsi="Times New Roman" w:eastAsia="仿宋_GB2312"/>
          <w:sz w:val="32"/>
          <w:szCs w:val="32"/>
        </w:rPr>
        <w:t>贯彻落实好《中华人民共和国家庭教育促进法》《内蒙古自治区家庭教育促进条例》中“依法带娃”的各项措施，引导家长们学习科学的家庭教育方式方法，同时有关职能部门加强宣传引导，强化家庭教育责任意识。</w:t>
      </w:r>
      <w:r>
        <w:rPr>
          <w:rFonts w:ascii="Times New Roman" w:hAnsi="Times New Roman" w:eastAsia="仿宋_GB2312"/>
          <w:sz w:val="32"/>
          <w:szCs w:val="32"/>
        </w:rPr>
        <w:t xml:space="preserve"> </w:t>
      </w:r>
    </w:p>
    <w:p w14:paraId="6C9277AA">
      <w:pPr>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sz w:val="32"/>
          <w:szCs w:val="32"/>
        </w:rPr>
        <w:t>（三）构建未成年人轻罪治理体系。</w:t>
      </w:r>
      <w:r>
        <w:rPr>
          <w:rFonts w:hint="eastAsia" w:ascii="Times New Roman" w:hAnsi="Times New Roman" w:eastAsia="仿宋_GB2312"/>
          <w:sz w:val="32"/>
          <w:szCs w:val="32"/>
        </w:rPr>
        <w:t>未成年人犯罪往往以微罪、轻罪为主，重罪所占比例较小，对这部分未成年人，改造空间大，可预防性强，再犯可能性较小。在原则上，应继续坚持“教育为主、惩罚为辅”的原则，尽量适用非羁押性强制措施或者不起诉、适用缓刑，但需配合相应的矫正、规制措施。例如针对侵财类案件未成年人，探索建立适龄未成年人就业帮扶制度，引导其通过正规途径合理获取报酬；针对无业未成年人，根据其兴趣爱好，帮助进行职业技能培训，进行职业规划方便后续就业。</w:t>
      </w:r>
    </w:p>
    <w:p w14:paraId="7BE2704F">
      <w:pPr>
        <w:spacing w:line="570" w:lineRule="exact"/>
        <w:ind w:firstLine="640" w:firstLineChars="200"/>
        <w:rPr>
          <w:rFonts w:ascii="Times New Roman" w:hAnsi="Times New Roman" w:eastAsia="仿宋_GB2312"/>
          <w:sz w:val="32"/>
          <w:szCs w:val="32"/>
          <w:shd w:val="clear" w:color="auto" w:fill="FFFFFF"/>
        </w:rPr>
      </w:pPr>
    </w:p>
    <w:p w14:paraId="0889E611">
      <w:pPr>
        <w:spacing w:line="570" w:lineRule="exact"/>
        <w:ind w:firstLine="640" w:firstLineChars="200"/>
        <w:rPr>
          <w:rFonts w:ascii="Times New Roman" w:hAnsi="Times New Roman" w:eastAsia="仿宋_GB2312"/>
          <w:sz w:val="32"/>
          <w:szCs w:val="32"/>
          <w:shd w:val="clear" w:color="auto" w:fill="FFFFFF"/>
        </w:rPr>
      </w:pPr>
    </w:p>
    <w:p w14:paraId="212AE866">
      <w:pPr>
        <w:spacing w:line="570" w:lineRule="exact"/>
        <w:ind w:firstLine="640" w:firstLineChars="200"/>
        <w:rPr>
          <w:rFonts w:ascii="Times New Roman" w:hAnsi="Times New Roman" w:eastAsia="仿宋_GB2312"/>
          <w:sz w:val="32"/>
          <w:szCs w:val="32"/>
          <w:shd w:val="clear" w:color="auto" w:fill="FFFFFF"/>
        </w:rPr>
      </w:pPr>
    </w:p>
    <w:p w14:paraId="0FBE4103">
      <w:pPr>
        <w:spacing w:line="570" w:lineRule="exact"/>
        <w:ind w:firstLine="640" w:firstLineChars="200"/>
        <w:rPr>
          <w:rFonts w:ascii="Times New Roman" w:hAnsi="Times New Roman" w:eastAsia="仿宋_GB2312"/>
          <w:sz w:val="32"/>
          <w:szCs w:val="32"/>
          <w:shd w:val="clear" w:color="auto" w:fill="FFFFFF"/>
        </w:rPr>
      </w:pPr>
    </w:p>
    <w:p w14:paraId="6C5D815F">
      <w:pPr>
        <w:spacing w:line="570" w:lineRule="exact"/>
        <w:ind w:firstLine="640" w:firstLineChars="200"/>
        <w:rPr>
          <w:rFonts w:ascii="Times New Roman" w:hAnsi="Times New Roman" w:eastAsia="仿宋_GB2312"/>
          <w:sz w:val="32"/>
          <w:szCs w:val="32"/>
          <w:shd w:val="clear" w:color="auto" w:fill="FFFFFF"/>
        </w:rPr>
      </w:pPr>
    </w:p>
    <w:p w14:paraId="6A853348">
      <w:pPr>
        <w:spacing w:line="570" w:lineRule="exact"/>
        <w:ind w:firstLine="640" w:firstLineChars="200"/>
        <w:rPr>
          <w:rFonts w:ascii="Times New Roman" w:hAnsi="Times New Roman" w:eastAsia="仿宋_GB2312"/>
          <w:sz w:val="32"/>
          <w:szCs w:val="32"/>
          <w:shd w:val="clear" w:color="auto" w:fill="FFFFFF"/>
        </w:rPr>
      </w:pPr>
    </w:p>
    <w:p w14:paraId="31A36B10">
      <w:pPr>
        <w:spacing w:line="570" w:lineRule="exact"/>
        <w:ind w:firstLine="640" w:firstLineChars="200"/>
        <w:rPr>
          <w:rFonts w:ascii="Times New Roman" w:hAnsi="Times New Roman" w:eastAsia="仿宋_GB2312"/>
          <w:sz w:val="32"/>
          <w:szCs w:val="32"/>
          <w:shd w:val="clear" w:color="auto" w:fill="FFFFFF"/>
        </w:rPr>
      </w:pPr>
    </w:p>
    <w:p w14:paraId="340588E7">
      <w:pPr>
        <w:spacing w:line="570" w:lineRule="exact"/>
        <w:ind w:firstLine="640" w:firstLineChars="200"/>
        <w:rPr>
          <w:rFonts w:ascii="Times New Roman" w:hAnsi="Times New Roman" w:eastAsia="仿宋_GB2312"/>
          <w:sz w:val="32"/>
          <w:szCs w:val="32"/>
          <w:shd w:val="clear" w:color="auto" w:fill="FFFFFF"/>
        </w:rPr>
      </w:pPr>
    </w:p>
    <w:p w14:paraId="1159CF8A">
      <w:pPr>
        <w:spacing w:line="570" w:lineRule="exact"/>
        <w:ind w:firstLine="640" w:firstLineChars="200"/>
        <w:rPr>
          <w:rFonts w:ascii="Times New Roman" w:hAnsi="Times New Roman" w:eastAsia="仿宋_GB2312"/>
          <w:sz w:val="32"/>
          <w:szCs w:val="32"/>
          <w:shd w:val="clear" w:color="auto" w:fill="FFFFFF"/>
        </w:rPr>
      </w:pPr>
    </w:p>
    <w:p w14:paraId="6CBE54C5">
      <w:pPr>
        <w:spacing w:line="570" w:lineRule="exact"/>
        <w:ind w:firstLine="640" w:firstLineChars="200"/>
        <w:rPr>
          <w:rFonts w:ascii="Times New Roman" w:hAnsi="Times New Roman" w:eastAsia="仿宋_GB2312"/>
          <w:sz w:val="32"/>
          <w:szCs w:val="32"/>
          <w:shd w:val="clear" w:color="auto" w:fill="FFFFFF"/>
        </w:rPr>
      </w:pPr>
    </w:p>
    <w:p w14:paraId="1F0DE0EB">
      <w:pPr>
        <w:spacing w:line="570" w:lineRule="exact"/>
        <w:ind w:firstLine="640" w:firstLineChars="200"/>
        <w:rPr>
          <w:rFonts w:ascii="Times New Roman" w:hAnsi="Times New Roman" w:eastAsia="仿宋_GB2312"/>
          <w:sz w:val="32"/>
          <w:szCs w:val="32"/>
          <w:shd w:val="clear" w:color="auto" w:fill="FFFFFF"/>
        </w:rPr>
      </w:pPr>
    </w:p>
    <w:p w14:paraId="77D7BBA0">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提案编号：008</w:t>
      </w:r>
    </w:p>
    <w:p w14:paraId="35EFF811">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提案名称：关于帮扶汽车销售企业提振信心的提案</w:t>
      </w:r>
    </w:p>
    <w:p w14:paraId="0726A76F">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30"/>
          <w:sz w:val="32"/>
          <w:szCs w:val="32"/>
        </w:rPr>
        <w:t>提  案  人</w:t>
      </w:r>
      <w:r>
        <w:rPr>
          <w:rFonts w:hint="eastAsia" w:ascii="楷体_GB2312" w:hAnsi="楷体" w:eastAsia="楷体_GB2312" w:cs="仿宋_GB2312"/>
          <w:bCs/>
          <w:spacing w:val="-17"/>
          <w:sz w:val="32"/>
          <w:szCs w:val="32"/>
        </w:rPr>
        <w:t>：车师贤</w:t>
      </w:r>
    </w:p>
    <w:p w14:paraId="49BFE334">
      <w:pPr>
        <w:jc w:val="left"/>
        <w:rPr>
          <w:b/>
          <w:bCs/>
          <w:sz w:val="44"/>
          <w:szCs w:val="44"/>
        </w:rPr>
      </w:pPr>
      <w:r>
        <w:rPr>
          <w:rFonts w:hint="eastAsia" w:ascii="楷体_GB2312" w:hAnsi="楷体" w:eastAsia="楷体_GB2312" w:cs="仿宋_GB2312"/>
          <w:bCs/>
          <w:spacing w:val="-17"/>
          <w:sz w:val="32"/>
          <w:szCs w:val="32"/>
        </w:rPr>
        <w:t>联系方式</w:t>
      </w:r>
      <w:r>
        <w:rPr>
          <w:rFonts w:hint="eastAsia" w:ascii="楷体_GB2312" w:hAnsi="楷体" w:eastAsia="楷体_GB2312" w:cs="仿宋_GB2312"/>
          <w:sz w:val="32"/>
          <w:szCs w:val="32"/>
        </w:rPr>
        <w:t>：1</w:t>
      </w:r>
      <w:r>
        <w:rPr>
          <w:rFonts w:ascii="楷体_GB2312" w:hAnsi="楷体" w:eastAsia="楷体_GB2312" w:cs="仿宋_GB2312"/>
          <w:sz w:val="32"/>
          <w:szCs w:val="32"/>
        </w:rPr>
        <w:t>8647669711</w:t>
      </w:r>
    </w:p>
    <w:p w14:paraId="259A2F14">
      <w:pPr>
        <w:rPr>
          <w:rFonts w:ascii="楷体_GB2312" w:eastAsia="楷体_GB2312"/>
          <w:bCs/>
          <w:sz w:val="32"/>
          <w:szCs w:val="32"/>
        </w:rPr>
      </w:pPr>
      <w:r>
        <w:rPr>
          <w:rFonts w:hint="eastAsia" w:ascii="楷体_GB2312" w:eastAsia="楷体_GB2312"/>
          <w:bCs/>
          <w:sz w:val="32"/>
          <w:szCs w:val="32"/>
        </w:rPr>
        <w:t>界   别：工商业联合会</w:t>
      </w:r>
    </w:p>
    <w:p w14:paraId="3EF8BFAF">
      <w:pPr>
        <w:jc w:val="center"/>
        <w:rPr>
          <w:rFonts w:ascii="方正小标宋简体" w:eastAsia="方正小标宋简体"/>
          <w:bCs/>
          <w:sz w:val="44"/>
          <w:szCs w:val="44"/>
        </w:rPr>
      </w:pPr>
      <w:r>
        <w:rPr>
          <w:rFonts w:hint="eastAsia" w:ascii="方正小标宋简体" w:eastAsia="方正小标宋简体"/>
          <w:bCs/>
          <w:sz w:val="44"/>
          <w:szCs w:val="44"/>
        </w:rPr>
        <w:t>关于帮扶汽车销售企业提振信心的提案</w:t>
      </w:r>
    </w:p>
    <w:p w14:paraId="0EFC880A">
      <w:pPr>
        <w:spacing w:line="560" w:lineRule="exact"/>
        <w:rPr>
          <w:rFonts w:ascii="黑体" w:hAnsi="黑体" w:eastAsia="黑体"/>
          <w:sz w:val="32"/>
          <w:szCs w:val="32"/>
        </w:rPr>
      </w:pPr>
    </w:p>
    <w:p w14:paraId="1CB3E391">
      <w:pPr>
        <w:spacing w:line="560" w:lineRule="exact"/>
        <w:rPr>
          <w:rFonts w:ascii="黑体" w:hAnsi="黑体" w:eastAsia="黑体"/>
          <w:sz w:val="32"/>
          <w:szCs w:val="32"/>
        </w:rPr>
      </w:pPr>
      <w:r>
        <w:rPr>
          <w:rFonts w:ascii="黑体" w:hAnsi="黑体" w:eastAsia="黑体"/>
          <w:sz w:val="32"/>
          <w:szCs w:val="32"/>
        </w:rPr>
        <w:t>一、</w:t>
      </w:r>
      <w:r>
        <w:rPr>
          <w:rFonts w:hint="eastAsia" w:ascii="黑体" w:hAnsi="黑体" w:eastAsia="黑体"/>
          <w:sz w:val="32"/>
          <w:szCs w:val="32"/>
        </w:rPr>
        <w:t>基本情况</w:t>
      </w:r>
    </w:p>
    <w:p w14:paraId="256528E5">
      <w:pPr>
        <w:spacing w:line="560" w:lineRule="exact"/>
        <w:ind w:firstLine="640" w:firstLineChars="200"/>
        <w:rPr>
          <w:rFonts w:ascii="仿宋_GB2312" w:eastAsia="仿宋_GB2312"/>
          <w:sz w:val="32"/>
          <w:szCs w:val="32"/>
        </w:rPr>
      </w:pPr>
      <w:r>
        <w:rPr>
          <w:rFonts w:hint="eastAsia" w:ascii="仿宋_GB2312" w:eastAsia="仿宋_GB2312"/>
          <w:sz w:val="32"/>
          <w:szCs w:val="32"/>
        </w:rPr>
        <w:t>近年来，汽车销售行业面临着诸多严峻挑战。宏观经济环境的不确定性，使得消费者购买力下降，购车意愿受到抑制。同时，行业竞争愈发激烈，新能源汽车的崛起改变了传统市场格局，加上供应链波动导致的车辆供应不稳定，都给汽车销售企业带来了巨大的经营压力。众多企业面临销量下滑、库存积压、资金周转困难等问题，经营信心遭受重创。在此背景下，帮扶汽车销售企业提振信心，不仅关乎企业自身的生存与发展，更对稳定汽车产业链、促进经济增长具有重要意义。</w:t>
      </w:r>
    </w:p>
    <w:p w14:paraId="5EFC6961">
      <w:pPr>
        <w:spacing w:line="600" w:lineRule="exact"/>
        <w:rPr>
          <w:rFonts w:ascii="仿宋_GB2312" w:hAnsi="仿宋" w:eastAsia="仿宋_GB2312"/>
          <w:sz w:val="32"/>
          <w:szCs w:val="32"/>
        </w:rPr>
      </w:pPr>
      <w:r>
        <w:rPr>
          <w:rFonts w:hint="eastAsia" w:ascii="黑体" w:hAnsi="黑体" w:eastAsia="黑体"/>
          <w:sz w:val="32"/>
          <w:szCs w:val="32"/>
        </w:rPr>
        <w:t>二、存在问题</w:t>
      </w:r>
    </w:p>
    <w:p w14:paraId="72926C7A">
      <w:pPr>
        <w:spacing w:line="560" w:lineRule="exact"/>
        <w:ind w:firstLine="283" w:firstLineChars="88"/>
        <w:rPr>
          <w:rFonts w:ascii="仿宋_GB2312" w:eastAsia="仿宋_GB2312"/>
          <w:b/>
          <w:bCs/>
          <w:sz w:val="32"/>
          <w:szCs w:val="32"/>
        </w:rPr>
      </w:pPr>
      <w:r>
        <w:rPr>
          <w:rFonts w:hint="eastAsia" w:ascii="仿宋_GB2312" w:eastAsia="仿宋_GB2312"/>
          <w:b/>
          <w:bCs/>
          <w:sz w:val="32"/>
          <w:szCs w:val="32"/>
        </w:rPr>
        <w:t>1、</w:t>
      </w:r>
      <w:r>
        <w:rPr>
          <w:rFonts w:ascii="仿宋_GB2312" w:eastAsia="仿宋_GB2312"/>
          <w:b/>
          <w:bCs/>
          <w:sz w:val="32"/>
          <w:szCs w:val="32"/>
        </w:rPr>
        <w:t>资金压力难以缓解</w:t>
      </w:r>
    </w:p>
    <w:p w14:paraId="67594054">
      <w:pPr>
        <w:spacing w:line="560" w:lineRule="exact"/>
        <w:ind w:left="-142" w:firstLine="640" w:firstLineChars="200"/>
        <w:rPr>
          <w:rFonts w:ascii="仿宋_GB2312" w:eastAsia="仿宋_GB2312"/>
          <w:sz w:val="32"/>
          <w:szCs w:val="32"/>
        </w:rPr>
      </w:pPr>
      <w:r>
        <w:rPr>
          <w:rFonts w:ascii="仿宋_GB2312" w:eastAsia="仿宋_GB2312"/>
          <w:sz w:val="32"/>
          <w:szCs w:val="32"/>
        </w:rPr>
        <w:t>缺少税收优惠，企业需承担高额增值税，资金大量外流，难以负担车辆采购、场地租赁、员工薪酬等成本。同时，没有信贷支持，企业融资困难，贷款门槛高、利率高，资金链紧张，阻碍正常运营与扩张。</w:t>
      </w:r>
    </w:p>
    <w:p w14:paraId="498469AC">
      <w:pPr>
        <w:spacing w:line="560" w:lineRule="exact"/>
        <w:ind w:left="-284" w:firstLine="565" w:firstLineChars="176"/>
        <w:rPr>
          <w:rFonts w:ascii="仿宋_GB2312" w:eastAsia="仿宋_GB2312"/>
          <w:sz w:val="32"/>
          <w:szCs w:val="32"/>
        </w:rPr>
      </w:pPr>
      <w:r>
        <w:rPr>
          <w:rFonts w:hint="eastAsia" w:ascii="仿宋_GB2312" w:eastAsia="仿宋_GB2312"/>
          <w:b/>
          <w:bCs/>
          <w:sz w:val="32"/>
          <w:szCs w:val="32"/>
        </w:rPr>
        <w:t>2、行政审批数字化</w:t>
      </w:r>
      <w:r>
        <w:rPr>
          <w:rFonts w:ascii="仿宋_GB2312" w:eastAsia="仿宋_GB2312"/>
          <w:b/>
          <w:bCs/>
          <w:sz w:val="32"/>
          <w:szCs w:val="32"/>
        </w:rPr>
        <w:t>受限</w:t>
      </w:r>
    </w:p>
    <w:p w14:paraId="08CFB342">
      <w:pPr>
        <w:spacing w:line="560" w:lineRule="exact"/>
        <w:ind w:left="-284" w:firstLine="563" w:firstLineChars="176"/>
        <w:rPr>
          <w:rFonts w:ascii="仿宋_GB2312" w:eastAsia="仿宋_GB2312"/>
          <w:sz w:val="32"/>
          <w:szCs w:val="32"/>
        </w:rPr>
      </w:pPr>
      <w:r>
        <w:rPr>
          <w:rFonts w:ascii="仿宋_GB2312" w:eastAsia="仿宋_GB2312"/>
          <w:sz w:val="32"/>
          <w:szCs w:val="32"/>
        </w:rPr>
        <w:t>因缺乏</w:t>
      </w:r>
      <w:r>
        <w:rPr>
          <w:rFonts w:hint="eastAsia" w:ascii="仿宋_GB2312" w:eastAsia="仿宋_GB2312"/>
          <w:sz w:val="32"/>
          <w:szCs w:val="32"/>
        </w:rPr>
        <w:t>行政</w:t>
      </w:r>
      <w:r>
        <w:rPr>
          <w:rFonts w:ascii="仿宋_GB2312" w:eastAsia="仿宋_GB2312"/>
          <w:sz w:val="32"/>
          <w:szCs w:val="32"/>
        </w:rPr>
        <w:t>审批流程</w:t>
      </w:r>
      <w:r>
        <w:rPr>
          <w:rFonts w:hint="eastAsia" w:ascii="仿宋_GB2312" w:eastAsia="仿宋_GB2312"/>
          <w:sz w:val="32"/>
          <w:szCs w:val="32"/>
        </w:rPr>
        <w:t>全数字化</w:t>
      </w:r>
      <w:r>
        <w:rPr>
          <w:rFonts w:ascii="仿宋_GB2312" w:eastAsia="仿宋_GB2312"/>
          <w:sz w:val="32"/>
          <w:szCs w:val="32"/>
        </w:rPr>
        <w:t>的支持，</w:t>
      </w:r>
      <w:r>
        <w:rPr>
          <w:rFonts w:hint="eastAsia" w:ascii="仿宋_GB2312" w:eastAsia="仿宋_GB2312"/>
          <w:sz w:val="32"/>
          <w:szCs w:val="32"/>
        </w:rPr>
        <w:t>企业需要安排专人负责各项政府审批相关业务，而且</w:t>
      </w:r>
      <w:r>
        <w:rPr>
          <w:rFonts w:ascii="仿宋_GB2312" w:eastAsia="仿宋_GB2312"/>
          <w:sz w:val="32"/>
          <w:szCs w:val="32"/>
        </w:rPr>
        <w:t>企业需准备大量</w:t>
      </w:r>
      <w:r>
        <w:rPr>
          <w:rFonts w:hint="eastAsia" w:ascii="仿宋_GB2312" w:eastAsia="仿宋_GB2312"/>
          <w:sz w:val="32"/>
          <w:szCs w:val="32"/>
        </w:rPr>
        <w:t>重复性</w:t>
      </w:r>
      <w:r>
        <w:rPr>
          <w:rFonts w:ascii="仿宋_GB2312" w:eastAsia="仿宋_GB2312"/>
          <w:sz w:val="32"/>
          <w:szCs w:val="32"/>
        </w:rPr>
        <w:t>材料，审批繁琐</w:t>
      </w:r>
      <w:r>
        <w:rPr>
          <w:rFonts w:hint="eastAsia" w:ascii="仿宋_GB2312" w:eastAsia="仿宋_GB2312"/>
          <w:sz w:val="32"/>
          <w:szCs w:val="32"/>
        </w:rPr>
        <w:t>，</w:t>
      </w:r>
      <w:r>
        <w:rPr>
          <w:rFonts w:ascii="仿宋_GB2312" w:eastAsia="仿宋_GB2312"/>
          <w:sz w:val="32"/>
          <w:szCs w:val="32"/>
        </w:rPr>
        <w:t>耗费时间和精力，</w:t>
      </w:r>
      <w:r>
        <w:rPr>
          <w:rFonts w:hint="eastAsia" w:ascii="仿宋_GB2312" w:eastAsia="仿宋_GB2312"/>
          <w:sz w:val="32"/>
          <w:szCs w:val="32"/>
        </w:rPr>
        <w:t>增加运营成本</w:t>
      </w:r>
      <w:r>
        <w:rPr>
          <w:rFonts w:ascii="仿宋_GB2312" w:eastAsia="仿宋_GB2312"/>
          <w:sz w:val="32"/>
          <w:szCs w:val="32"/>
        </w:rPr>
        <w:t>。</w:t>
      </w:r>
    </w:p>
    <w:p w14:paraId="1B3C6501">
      <w:pPr>
        <w:spacing w:line="560" w:lineRule="exact"/>
        <w:ind w:left="-284" w:firstLine="565" w:firstLineChars="176"/>
        <w:rPr>
          <w:rFonts w:ascii="仿宋_GB2312" w:eastAsia="仿宋_GB2312"/>
          <w:sz w:val="32"/>
          <w:szCs w:val="32"/>
        </w:rPr>
      </w:pPr>
      <w:r>
        <w:rPr>
          <w:rFonts w:hint="eastAsia" w:ascii="仿宋_GB2312" w:eastAsia="仿宋_GB2312"/>
          <w:b/>
          <w:bCs/>
          <w:sz w:val="32"/>
          <w:szCs w:val="32"/>
        </w:rPr>
        <w:t>3、</w:t>
      </w:r>
      <w:r>
        <w:rPr>
          <w:rFonts w:ascii="仿宋_GB2312" w:eastAsia="仿宋_GB2312"/>
          <w:b/>
          <w:bCs/>
          <w:sz w:val="32"/>
          <w:szCs w:val="32"/>
        </w:rPr>
        <w:t>市场拓展乏力</w:t>
      </w:r>
    </w:p>
    <w:p w14:paraId="60BAFB65">
      <w:pPr>
        <w:spacing w:line="560" w:lineRule="exact"/>
        <w:ind w:left="-284" w:firstLine="563" w:firstLineChars="176"/>
        <w:rPr>
          <w:rFonts w:ascii="仿宋_GB2312" w:eastAsia="仿宋_GB2312"/>
          <w:sz w:val="32"/>
          <w:szCs w:val="32"/>
        </w:rPr>
      </w:pPr>
      <w:r>
        <w:rPr>
          <w:rFonts w:ascii="仿宋_GB2312" w:eastAsia="仿宋_GB2312"/>
          <w:sz w:val="32"/>
          <w:szCs w:val="32"/>
        </w:rPr>
        <w:t>政府组织或支持展销活动</w:t>
      </w:r>
      <w:r>
        <w:rPr>
          <w:rFonts w:hint="eastAsia" w:ascii="仿宋_GB2312" w:eastAsia="仿宋_GB2312"/>
          <w:sz w:val="32"/>
          <w:szCs w:val="32"/>
        </w:rPr>
        <w:t>多样性较少且支持力度较低</w:t>
      </w:r>
      <w:r>
        <w:rPr>
          <w:rFonts w:ascii="仿宋_GB2312" w:eastAsia="仿宋_GB2312"/>
          <w:sz w:val="32"/>
          <w:szCs w:val="32"/>
        </w:rPr>
        <w:t>，企业难以获得集中展示产品的平台，曝光度低，难以吸引消费者。在开拓农村市场和二手车市场时，没有政策扶持，企业建立销售网点和售后服务站的成本高，且缺乏对消费者的购车补贴，市场拓展进度缓慢。</w:t>
      </w:r>
    </w:p>
    <w:p w14:paraId="16FBFF3C">
      <w:pPr>
        <w:spacing w:line="560" w:lineRule="exact"/>
        <w:ind w:left="-284" w:firstLine="565" w:firstLineChars="176"/>
        <w:jc w:val="left"/>
        <w:rPr>
          <w:rFonts w:ascii="仿宋_GB2312" w:eastAsia="仿宋_GB2312"/>
          <w:sz w:val="32"/>
          <w:szCs w:val="32"/>
        </w:rPr>
      </w:pPr>
      <w:r>
        <w:rPr>
          <w:rFonts w:hint="eastAsia" w:ascii="仿宋_GB2312" w:eastAsia="仿宋_GB2312"/>
          <w:b/>
          <w:bCs/>
          <w:sz w:val="32"/>
          <w:szCs w:val="32"/>
        </w:rPr>
        <w:t>4、</w:t>
      </w:r>
      <w:r>
        <w:rPr>
          <w:rFonts w:ascii="仿宋_GB2312" w:eastAsia="仿宋_GB2312"/>
          <w:b/>
          <w:bCs/>
          <w:sz w:val="32"/>
          <w:szCs w:val="32"/>
        </w:rPr>
        <w:t>人才与技术发展滞后</w:t>
      </w:r>
    </w:p>
    <w:p w14:paraId="2434BB1C">
      <w:pPr>
        <w:spacing w:line="560" w:lineRule="exact"/>
        <w:ind w:left="-284" w:firstLine="563" w:firstLineChars="176"/>
        <w:jc w:val="left"/>
        <w:rPr>
          <w:rFonts w:ascii="仿宋_GB2312" w:eastAsia="仿宋_GB2312"/>
          <w:sz w:val="32"/>
          <w:szCs w:val="32"/>
        </w:rPr>
      </w:pPr>
      <w:r>
        <w:rPr>
          <w:rFonts w:ascii="仿宋_GB2312" w:eastAsia="仿宋_GB2312"/>
          <w:sz w:val="32"/>
          <w:szCs w:val="32"/>
        </w:rPr>
        <w:t>缺少政府在人才培训与技术支持方面的投入，企业难以承担高昂的培训费用，员工专业技能提升受限。同时，企业与科研机构合作困难，难以引入智能化销售系统等先进技术，导致销售管理效率低下，客户服务质量不高。</w:t>
      </w:r>
    </w:p>
    <w:p w14:paraId="7FE7DFCA">
      <w:pPr>
        <w:spacing w:line="560" w:lineRule="exact"/>
        <w:rPr>
          <w:rFonts w:ascii="黑体" w:hAnsi="黑体" w:eastAsia="黑体"/>
          <w:sz w:val="32"/>
          <w:szCs w:val="32"/>
        </w:rPr>
      </w:pPr>
      <w:r>
        <w:rPr>
          <w:rFonts w:hint="eastAsia" w:ascii="黑体" w:hAnsi="黑体" w:eastAsia="黑体"/>
          <w:sz w:val="32"/>
          <w:szCs w:val="32"/>
        </w:rPr>
        <w:t>三、建议</w:t>
      </w:r>
    </w:p>
    <w:p w14:paraId="2A83837A">
      <w:pPr>
        <w:spacing w:line="560" w:lineRule="exact"/>
        <w:ind w:right="-340" w:rightChars="-162"/>
        <w:rPr>
          <w:rFonts w:ascii="楷体" w:hAnsi="楷体" w:eastAsia="楷体"/>
          <w:sz w:val="32"/>
          <w:szCs w:val="32"/>
        </w:rPr>
      </w:pPr>
      <w:r>
        <w:rPr>
          <w:rFonts w:hint="eastAsia" w:ascii="楷体" w:hAnsi="楷体" w:eastAsia="楷体"/>
          <w:sz w:val="32"/>
          <w:szCs w:val="32"/>
        </w:rPr>
        <w:t>（一）政策支持</w:t>
      </w:r>
    </w:p>
    <w:p w14:paraId="6F1AF6B4">
      <w:pPr>
        <w:spacing w:line="560" w:lineRule="exact"/>
        <w:ind w:left="-283" w:leftChars="-135" w:firstLine="565" w:firstLineChars="176"/>
        <w:rPr>
          <w:rFonts w:ascii="仿宋_GB2312" w:eastAsia="仿宋_GB2312"/>
          <w:b/>
          <w:bCs/>
          <w:sz w:val="32"/>
          <w:szCs w:val="32"/>
        </w:rPr>
      </w:pPr>
      <w:r>
        <w:rPr>
          <w:rFonts w:hint="eastAsia" w:ascii="仿宋_GB2312" w:eastAsia="仿宋_GB2312"/>
          <w:b/>
          <w:bCs/>
          <w:sz w:val="32"/>
          <w:szCs w:val="32"/>
        </w:rPr>
        <w:t>1、税收优惠</w:t>
      </w:r>
    </w:p>
    <w:p w14:paraId="014123C3">
      <w:pPr>
        <w:spacing w:line="560" w:lineRule="exact"/>
        <w:ind w:left="-283" w:leftChars="-135" w:firstLine="563" w:firstLineChars="176"/>
        <w:rPr>
          <w:rFonts w:ascii="仿宋_GB2312" w:eastAsia="仿宋_GB2312"/>
          <w:sz w:val="32"/>
          <w:szCs w:val="32"/>
        </w:rPr>
      </w:pPr>
      <w:r>
        <w:rPr>
          <w:rFonts w:ascii="仿宋_GB2312" w:eastAsia="仿宋_GB2312"/>
          <w:sz w:val="32"/>
          <w:szCs w:val="32"/>
        </w:rPr>
        <w:t>调整增值税税率是优化税收政策的重要举措。鉴于汽车销售行业的资金周转压力和市场竞争的激烈程度，可适当降低汽车销售企业的增值税税率。将增值税税率从现行的 13% 降至 11%，这将直接减少企业的应纳税额，减轻企业的资金负担。以年销售额 1 亿元的汽车销售企业为例，税率降低 2 个百分点，每年可减少增值税支出约 177 万元，这将极大地缓解企业的资金压力，使其有更多资金用于拓展业务、提升服务质量和进行市场推广。</w:t>
      </w:r>
    </w:p>
    <w:p w14:paraId="6DA42413">
      <w:pPr>
        <w:spacing w:line="560" w:lineRule="exact"/>
        <w:ind w:left="-283" w:leftChars="-135" w:firstLine="563" w:firstLineChars="176"/>
        <w:rPr>
          <w:rFonts w:ascii="仿宋_GB2312" w:eastAsia="仿宋_GB2312"/>
          <w:sz w:val="32"/>
          <w:szCs w:val="32"/>
        </w:rPr>
      </w:pPr>
      <w:r>
        <w:rPr>
          <w:rFonts w:ascii="仿宋_GB2312" w:eastAsia="仿宋_GB2312"/>
          <w:sz w:val="32"/>
          <w:szCs w:val="32"/>
        </w:rPr>
        <w:t>扩大所得税优惠范围也是关键。对于符合条件的汽车销售企业，应进一步加大研发费用加计扣除力度。除了传统的研发投入，对于企业在销售模式创新、客户服务优化等方面的投入，也应纳入研发费用加计扣除范围。对于积极开展绿色销售、推广新能源汽车的企业，给予一定的所得税减免优惠。若某企业在新能源汽车销售推广方面投入较大，通过所得税减免政策，可降低其应纳税所得额，减轻企业的所得税负担，鼓励企业加大在新能源汽车销售领域的投入。</w:t>
      </w:r>
    </w:p>
    <w:p w14:paraId="4CA518FA">
      <w:pPr>
        <w:spacing w:line="560" w:lineRule="exact"/>
        <w:ind w:left="-283" w:leftChars="-135" w:firstLine="565" w:firstLineChars="176"/>
        <w:rPr>
          <w:rFonts w:ascii="仿宋_GB2312" w:eastAsia="仿宋_GB2312"/>
          <w:b/>
          <w:bCs/>
          <w:sz w:val="32"/>
          <w:szCs w:val="32"/>
        </w:rPr>
      </w:pPr>
      <w:r>
        <w:rPr>
          <w:rFonts w:hint="eastAsia" w:ascii="仿宋_GB2312" w:eastAsia="仿宋_GB2312"/>
          <w:b/>
          <w:bCs/>
          <w:sz w:val="32"/>
          <w:szCs w:val="32"/>
        </w:rPr>
        <w:t>2、加大电子政务应用</w:t>
      </w:r>
    </w:p>
    <w:p w14:paraId="2FD3A3FA">
      <w:pPr>
        <w:spacing w:line="560" w:lineRule="exact"/>
        <w:ind w:left="-283" w:leftChars="-135" w:firstLine="563" w:firstLineChars="176"/>
        <w:rPr>
          <w:rFonts w:ascii="仿宋_GB2312" w:eastAsia="仿宋_GB2312"/>
          <w:sz w:val="32"/>
          <w:szCs w:val="32"/>
        </w:rPr>
      </w:pPr>
      <w:r>
        <w:rPr>
          <w:rFonts w:ascii="仿宋_GB2312" w:eastAsia="仿宋_GB2312"/>
          <w:sz w:val="32"/>
          <w:szCs w:val="32"/>
        </w:rPr>
        <w:t>随着人工智能、大数据分析等先进技术的迅猛发展，政府机构网上办公</w:t>
      </w:r>
      <w:r>
        <w:rPr>
          <w:rFonts w:hint="eastAsia" w:ascii="仿宋_GB2312" w:eastAsia="仿宋_GB2312"/>
          <w:sz w:val="32"/>
          <w:szCs w:val="32"/>
        </w:rPr>
        <w:t>应</w:t>
      </w:r>
      <w:r>
        <w:rPr>
          <w:rFonts w:ascii="仿宋_GB2312" w:eastAsia="仿宋_GB2312"/>
          <w:sz w:val="32"/>
          <w:szCs w:val="32"/>
        </w:rPr>
        <w:t>朝着智能化方向不断深化。完善协同办公机制打破行政和利益藩篱，统一标准规范，促进部门间横向协同。建立跨部门的协同工作领导小组，由政府主要领导担任组长，各相关部门负责人为成员，负责统筹协调电子政务建设中的协同工作。制定协同工作规则和流程，明确各部门在协同工作中的职责和任务，建立健全沟通协调机制，定期召开协同工作会议，及时解决协同工作中出现的问题。例如，在办理企业开办业务时，通过建立协同工作机制，工商、税务、公安、银行等部门可以实现信息共享和业务协同，企业只需在一个平台上提交一次申请材料，各部门即可同步进行审批，大大缩短了企业开办时间。</w:t>
      </w:r>
      <w:r>
        <w:rPr>
          <w:rFonts w:hint="eastAsia" w:ascii="仿宋_GB2312" w:eastAsia="仿宋_GB2312"/>
          <w:sz w:val="32"/>
          <w:szCs w:val="32"/>
        </w:rPr>
        <w:t>同时</w:t>
      </w:r>
      <w:r>
        <w:rPr>
          <w:rFonts w:ascii="仿宋_GB2312" w:eastAsia="仿宋_GB2312"/>
          <w:sz w:val="32"/>
          <w:szCs w:val="32"/>
        </w:rPr>
        <w:t>构建更加完善的一体化在线政务服务平台，实现跨部门、跨区域业务的协同办理。一方面，通过加强各部门信息系统的互联互通，打破 “信息孤岛”，实现数据的实时共享和业务流程的无缝对接。例如，企业在办理项目审批时，涉及多个部门的审批事项，通过一体化平台，各部门可同步获取企业提交的资料，并行开展审批工作，大大缩短了审批时间</w:t>
      </w:r>
      <w:r>
        <w:rPr>
          <w:rFonts w:hint="eastAsia" w:ascii="仿宋_GB2312" w:eastAsia="仿宋_GB2312"/>
          <w:sz w:val="32"/>
          <w:szCs w:val="32"/>
        </w:rPr>
        <w:t>，节省企业用于应对政府部门事务的人力成本。</w:t>
      </w:r>
    </w:p>
    <w:p w14:paraId="4C1EE2A2">
      <w:pPr>
        <w:spacing w:line="560" w:lineRule="exact"/>
        <w:ind w:left="-283" w:leftChars="-135" w:firstLine="563" w:firstLineChars="176"/>
        <w:rPr>
          <w:rFonts w:ascii="楷体" w:hAnsi="楷体" w:eastAsia="楷体"/>
          <w:sz w:val="32"/>
          <w:szCs w:val="32"/>
        </w:rPr>
      </w:pPr>
      <w:r>
        <w:rPr>
          <w:rFonts w:hint="eastAsia" w:ascii="楷体" w:hAnsi="楷体" w:eastAsia="楷体"/>
          <w:sz w:val="32"/>
          <w:szCs w:val="32"/>
        </w:rPr>
        <w:t>（二）资金支持</w:t>
      </w:r>
    </w:p>
    <w:p w14:paraId="56C15273">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1、信贷支持</w:t>
      </w:r>
    </w:p>
    <w:p w14:paraId="45CCF9C1">
      <w:pPr>
        <w:spacing w:line="560" w:lineRule="exact"/>
        <w:ind w:left="-283" w:leftChars="-135" w:firstLine="563" w:firstLineChars="176"/>
        <w:rPr>
          <w:rFonts w:ascii="仿宋_GB2312" w:eastAsia="仿宋_GB2312"/>
          <w:sz w:val="32"/>
          <w:szCs w:val="32"/>
        </w:rPr>
      </w:pPr>
      <w:r>
        <w:rPr>
          <w:rFonts w:hint="eastAsia" w:ascii="仿宋_GB2312" w:eastAsia="仿宋_GB2312"/>
          <w:sz w:val="32"/>
          <w:szCs w:val="32"/>
        </w:rPr>
        <w:t>引导金融机构加大对汽车销售企业的信贷投放力度，放宽贷款条件，降低贷款利率。设立专项信贷额度，确保企业有足够资金用于车辆采购、运营周转。同时，鼓励金融机构开发适合汽车销售企业的金融产品，如应收账款质押贷款、库存车融资等，拓宽企业融资渠道。</w:t>
      </w:r>
    </w:p>
    <w:p w14:paraId="1AAB6C0D">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2、财政补贴</w:t>
      </w:r>
    </w:p>
    <w:p w14:paraId="6C7EF49F">
      <w:pPr>
        <w:spacing w:line="560" w:lineRule="exact"/>
        <w:ind w:left="-283" w:leftChars="-135" w:firstLine="563" w:firstLineChars="176"/>
        <w:rPr>
          <w:rFonts w:ascii="仿宋_GB2312" w:eastAsia="仿宋_GB2312"/>
          <w:sz w:val="32"/>
          <w:szCs w:val="32"/>
        </w:rPr>
      </w:pPr>
      <w:r>
        <w:rPr>
          <w:rFonts w:hint="eastAsia" w:ascii="仿宋_GB2312" w:eastAsia="仿宋_GB2312"/>
          <w:sz w:val="32"/>
          <w:szCs w:val="32"/>
        </w:rPr>
        <w:t>政府设立汽车销售企业专项扶持资金，对经营困难但仍有发展潜力的企业给予一定的财政补贴。补贴可用于支付员工工资、租金、水电费等固定成本，帮助企业缓解短期资金困境。</w:t>
      </w:r>
    </w:p>
    <w:p w14:paraId="5C312DBD">
      <w:pPr>
        <w:spacing w:line="560" w:lineRule="exact"/>
        <w:ind w:left="-283" w:leftChars="-135" w:firstLine="563" w:firstLineChars="176"/>
        <w:rPr>
          <w:rFonts w:ascii="楷体" w:hAnsi="楷体" w:eastAsia="楷体"/>
          <w:sz w:val="32"/>
          <w:szCs w:val="32"/>
        </w:rPr>
      </w:pPr>
      <w:r>
        <w:rPr>
          <w:rFonts w:hint="eastAsia" w:ascii="楷体" w:hAnsi="楷体" w:eastAsia="楷体"/>
          <w:sz w:val="32"/>
          <w:szCs w:val="32"/>
        </w:rPr>
        <w:t>（三）金融扶持</w:t>
      </w:r>
    </w:p>
    <w:p w14:paraId="0191F31D">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1、创新金融产品</w:t>
      </w:r>
    </w:p>
    <w:p w14:paraId="6021FCBC">
      <w:pPr>
        <w:spacing w:line="560" w:lineRule="exact"/>
        <w:ind w:left="-283" w:leftChars="-135" w:firstLine="563" w:firstLineChars="176"/>
        <w:rPr>
          <w:rFonts w:ascii="仿宋_GB2312" w:eastAsia="仿宋_GB2312"/>
          <w:sz w:val="32"/>
          <w:szCs w:val="32"/>
        </w:rPr>
      </w:pPr>
      <w:r>
        <w:rPr>
          <w:rFonts w:hint="eastAsia" w:ascii="仿宋_GB2312" w:eastAsia="仿宋_GB2312"/>
          <w:sz w:val="32"/>
          <w:szCs w:val="32"/>
        </w:rPr>
        <w:t>推动金融机构开发针对汽车销售企业库存管理的特色金融产品。例如，设计基于车辆库存动态评估的循环贷款产品，企业可根据库存车辆的数量、价值变化灵活调整贷款额度和还款计划，提高资金使用效率，降低库存积压带来的资金占用成本。同时，探索开展汽车销售合同融资，金融机构依据企业已签订的汽车销售合同，提前为企业提供资金支持，加速资金回笼。</w:t>
      </w:r>
    </w:p>
    <w:p w14:paraId="67BC6AFC">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2、优化金融服务流程</w:t>
      </w:r>
      <w:r>
        <w:rPr>
          <w:rFonts w:hint="eastAsia" w:ascii="仿宋_GB2312" w:eastAsia="仿宋_GB2312"/>
          <w:sz w:val="32"/>
          <w:szCs w:val="32"/>
        </w:rPr>
        <w:t>：</w:t>
      </w:r>
    </w:p>
    <w:p w14:paraId="37310A27">
      <w:pPr>
        <w:spacing w:line="560" w:lineRule="exact"/>
        <w:ind w:left="-283" w:leftChars="-135" w:firstLine="563" w:firstLineChars="176"/>
        <w:rPr>
          <w:rFonts w:ascii="仿宋_GB2312" w:eastAsia="仿宋_GB2312"/>
          <w:sz w:val="32"/>
          <w:szCs w:val="32"/>
        </w:rPr>
      </w:pPr>
      <w:r>
        <w:rPr>
          <w:rFonts w:hint="eastAsia" w:ascii="仿宋_GB2312" w:eastAsia="仿宋_GB2312"/>
          <w:sz w:val="32"/>
          <w:szCs w:val="32"/>
        </w:rPr>
        <w:t>要求金融机构建立针对汽车销售企业的绿色金融服务通道，简化贷款申请、审批、发放流程。设立专门的服务团队，为企业提供一对一的金融咨询和服务，提高业务办理效率。缩短贷款审批时间，从传统的数周压缩至数天，确保企业在有资金需求时能够及时获得支持。此外，鼓励金融机构与汽车销售企业建立长期稳定的合作关系，根据企业的经营状况和信用记录，给予一定的信用额度，减少对抵押物的依赖。</w:t>
      </w:r>
    </w:p>
    <w:p w14:paraId="061E4D47">
      <w:pPr>
        <w:spacing w:line="560" w:lineRule="exact"/>
        <w:ind w:left="-283" w:leftChars="-135" w:firstLine="563" w:firstLineChars="176"/>
        <w:rPr>
          <w:rFonts w:ascii="楷体" w:hAnsi="楷体" w:eastAsia="楷体"/>
          <w:sz w:val="32"/>
          <w:szCs w:val="32"/>
        </w:rPr>
      </w:pPr>
      <w:r>
        <w:rPr>
          <w:rFonts w:hint="eastAsia" w:ascii="楷体" w:hAnsi="楷体" w:eastAsia="楷体"/>
          <w:sz w:val="32"/>
          <w:szCs w:val="32"/>
        </w:rPr>
        <w:t>（四）市场拓展</w:t>
      </w:r>
    </w:p>
    <w:p w14:paraId="20C8A502">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1、举办多样性展销活动</w:t>
      </w:r>
    </w:p>
    <w:p w14:paraId="0E15ABF3">
      <w:pPr>
        <w:spacing w:line="560" w:lineRule="exact"/>
        <w:ind w:left="-283" w:leftChars="-135" w:firstLine="563" w:firstLineChars="176"/>
        <w:rPr>
          <w:rFonts w:ascii="仿宋_GB2312" w:eastAsia="仿宋_GB2312"/>
          <w:sz w:val="32"/>
          <w:szCs w:val="32"/>
        </w:rPr>
      </w:pPr>
      <w:r>
        <w:rPr>
          <w:rFonts w:hint="eastAsia" w:ascii="仿宋_GB2312" w:eastAsia="仿宋_GB2312"/>
          <w:sz w:val="32"/>
          <w:szCs w:val="32"/>
        </w:rPr>
        <w:t>政府联合行业协会、汽车销售企业定期举办大型汽车展销会，提供场地、宣传等方面的支持。通过集中展示各类汽车品牌和车型，吸引消费者关注，促进汽车销售。同时，鼓励企业开展线上线下相结合的营销活动，如直播售车、线上团购等，拓宽销售渠道。</w:t>
      </w:r>
    </w:p>
    <w:p w14:paraId="121AADE7">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2、拓展新兴市场</w:t>
      </w:r>
    </w:p>
    <w:p w14:paraId="00F10462">
      <w:pPr>
        <w:spacing w:line="560" w:lineRule="exact"/>
        <w:ind w:left="-283" w:leftChars="-135" w:firstLine="563" w:firstLineChars="176"/>
        <w:rPr>
          <w:rFonts w:ascii="仿宋_GB2312" w:eastAsia="仿宋_GB2312"/>
          <w:sz w:val="32"/>
          <w:szCs w:val="32"/>
        </w:rPr>
      </w:pPr>
      <w:r>
        <w:rPr>
          <w:rFonts w:hint="eastAsia" w:ascii="仿宋_GB2312" w:eastAsia="仿宋_GB2312"/>
          <w:sz w:val="32"/>
          <w:szCs w:val="32"/>
        </w:rPr>
        <w:t>鼓励汽车销售企业积极开拓农村市场、二手车市场等新兴领域。政府出台相关政策，支持企业在农村地区建立销售网点和售后服务站，开展汽车下乡活动，给予农村消费者购车补贴。同时，规范二手车交易市场，加强二手车评估、检测等服务体系建设，促进二手车交易流通，为汽车销售企业开辟新的业务增长点。</w:t>
      </w:r>
    </w:p>
    <w:p w14:paraId="0B96FAE5">
      <w:pPr>
        <w:spacing w:line="560" w:lineRule="exact"/>
        <w:ind w:left="-283" w:leftChars="-135" w:firstLine="563" w:firstLineChars="176"/>
        <w:rPr>
          <w:rFonts w:ascii="楷体" w:hAnsi="楷体" w:eastAsia="楷体"/>
          <w:sz w:val="32"/>
          <w:szCs w:val="32"/>
        </w:rPr>
      </w:pPr>
      <w:r>
        <w:rPr>
          <w:rFonts w:hint="eastAsia" w:ascii="楷体" w:hAnsi="楷体" w:eastAsia="楷体"/>
          <w:sz w:val="32"/>
          <w:szCs w:val="32"/>
        </w:rPr>
        <w:t>（五）人才培训与技术支持</w:t>
      </w:r>
    </w:p>
    <w:p w14:paraId="2F89B3B7">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1、人才培训</w:t>
      </w:r>
    </w:p>
    <w:p w14:paraId="1F8DAF5A">
      <w:pPr>
        <w:spacing w:line="560" w:lineRule="exact"/>
        <w:ind w:left="-283" w:leftChars="-135" w:firstLine="563" w:firstLineChars="176"/>
        <w:rPr>
          <w:rFonts w:ascii="仿宋_GB2312" w:eastAsia="仿宋_GB2312"/>
          <w:sz w:val="32"/>
          <w:szCs w:val="32"/>
        </w:rPr>
      </w:pPr>
      <w:r>
        <w:rPr>
          <w:rFonts w:hint="eastAsia" w:ascii="仿宋_GB2312" w:eastAsia="仿宋_GB2312"/>
          <w:sz w:val="32"/>
          <w:szCs w:val="32"/>
        </w:rPr>
        <w:t>针对汽车销售行业的新趋势、新技术，组织开展专业培训课程，帮助企业员工提升销售技巧、新能源汽车知识、售后服务能力等。培训费用可由政府、企业和员工共同承担，提高员工参与积极性。此外，搭建人才交流平台，促进企业之间的人才交流与合作。</w:t>
      </w:r>
    </w:p>
    <w:p w14:paraId="79841463">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2、技术支持</w:t>
      </w:r>
    </w:p>
    <w:p w14:paraId="3D2D44B6">
      <w:pPr>
        <w:spacing w:line="560" w:lineRule="exact"/>
        <w:ind w:left="-283" w:leftChars="-135" w:firstLine="563" w:firstLineChars="176"/>
        <w:rPr>
          <w:rFonts w:ascii="仿宋_GB2312" w:eastAsia="仿宋_GB2312"/>
          <w:sz w:val="32"/>
          <w:szCs w:val="32"/>
        </w:rPr>
      </w:pPr>
      <w:r>
        <w:rPr>
          <w:rFonts w:hint="eastAsia" w:ascii="仿宋_GB2312" w:eastAsia="仿宋_GB2312"/>
          <w:sz w:val="32"/>
          <w:szCs w:val="32"/>
        </w:rPr>
        <w:t>鼓励科研机构与汽车销售企业合作，开展智能化销售系统、客户关系管理系统等技术研发与应用。通过引入先进技术，提升企业销售管理效率和客户服务质量，增强企业市场竞争力。</w:t>
      </w:r>
    </w:p>
    <w:p w14:paraId="56336956">
      <w:pPr>
        <w:rPr>
          <w:rFonts w:ascii="楷体_GB2312" w:hAnsi="楷体_GB2312" w:eastAsia="楷体_GB2312" w:cs="楷体_GB2312"/>
        </w:rPr>
      </w:pPr>
    </w:p>
    <w:p w14:paraId="367A5A2E">
      <w:pPr>
        <w:rPr>
          <w:rFonts w:ascii="楷体_GB2312" w:hAnsi="楷体_GB2312" w:eastAsia="楷体_GB2312" w:cs="楷体_GB2312"/>
        </w:rPr>
      </w:pPr>
    </w:p>
    <w:p w14:paraId="5C113DE2">
      <w:pPr>
        <w:rPr>
          <w:rFonts w:ascii="楷体_GB2312" w:hAnsi="楷体_GB2312" w:eastAsia="楷体_GB2312" w:cs="楷体_GB2312"/>
        </w:rPr>
      </w:pPr>
    </w:p>
    <w:p w14:paraId="5CBC0E47">
      <w:pPr>
        <w:rPr>
          <w:rFonts w:ascii="楷体_GB2312" w:hAnsi="楷体_GB2312" w:eastAsia="楷体_GB2312" w:cs="楷体_GB2312"/>
        </w:rPr>
      </w:pPr>
    </w:p>
    <w:p w14:paraId="08D62DB1">
      <w:pPr>
        <w:rPr>
          <w:rFonts w:ascii="楷体_GB2312" w:hAnsi="楷体_GB2312" w:eastAsia="楷体_GB2312" w:cs="楷体_GB2312"/>
        </w:rPr>
      </w:pPr>
    </w:p>
    <w:p w14:paraId="17B420BF">
      <w:pPr>
        <w:rPr>
          <w:rFonts w:ascii="楷体_GB2312" w:hAnsi="楷体_GB2312" w:eastAsia="楷体_GB2312" w:cs="楷体_GB2312"/>
        </w:rPr>
      </w:pPr>
    </w:p>
    <w:p w14:paraId="2CF762A4">
      <w:pPr>
        <w:rPr>
          <w:rFonts w:ascii="楷体_GB2312" w:hAnsi="楷体_GB2312" w:eastAsia="楷体_GB2312" w:cs="楷体_GB2312"/>
        </w:rPr>
      </w:pPr>
    </w:p>
    <w:p w14:paraId="5B16B95E">
      <w:pPr>
        <w:rPr>
          <w:rFonts w:ascii="楷体_GB2312" w:hAnsi="楷体_GB2312" w:eastAsia="楷体_GB2312" w:cs="楷体_GB2312"/>
        </w:rPr>
      </w:pPr>
    </w:p>
    <w:p w14:paraId="60F4A5BD">
      <w:pPr>
        <w:rPr>
          <w:rFonts w:ascii="楷体_GB2312" w:hAnsi="楷体_GB2312" w:eastAsia="楷体_GB2312" w:cs="楷体_GB2312"/>
        </w:rPr>
      </w:pPr>
    </w:p>
    <w:p w14:paraId="28117E58">
      <w:pPr>
        <w:rPr>
          <w:rFonts w:ascii="楷体_GB2312" w:hAnsi="楷体_GB2312" w:eastAsia="楷体_GB2312" w:cs="楷体_GB2312"/>
        </w:rPr>
      </w:pPr>
    </w:p>
    <w:p w14:paraId="5E5DFD7B">
      <w:pPr>
        <w:rPr>
          <w:rFonts w:ascii="楷体_GB2312" w:hAnsi="楷体_GB2312" w:eastAsia="楷体_GB2312" w:cs="楷体_GB2312"/>
        </w:rPr>
      </w:pPr>
    </w:p>
    <w:p w14:paraId="610F425A">
      <w:pPr>
        <w:rPr>
          <w:rFonts w:ascii="楷体_GB2312" w:hAnsi="楷体_GB2312" w:eastAsia="楷体_GB2312" w:cs="楷体_GB2312"/>
        </w:rPr>
      </w:pPr>
    </w:p>
    <w:p w14:paraId="3172F3AB">
      <w:pPr>
        <w:rPr>
          <w:rFonts w:ascii="楷体_GB2312" w:hAnsi="楷体_GB2312" w:eastAsia="楷体_GB2312" w:cs="楷体_GB2312"/>
        </w:rPr>
      </w:pPr>
    </w:p>
    <w:p w14:paraId="2743AAA7">
      <w:pPr>
        <w:rPr>
          <w:rFonts w:ascii="楷体_GB2312" w:hAnsi="楷体_GB2312" w:eastAsia="楷体_GB2312" w:cs="楷体_GB2312"/>
        </w:rPr>
      </w:pPr>
    </w:p>
    <w:p w14:paraId="469C5D68">
      <w:pPr>
        <w:rPr>
          <w:rFonts w:ascii="楷体_GB2312" w:hAnsi="楷体_GB2312" w:eastAsia="楷体_GB2312" w:cs="楷体_GB2312"/>
        </w:rPr>
      </w:pPr>
    </w:p>
    <w:p w14:paraId="17476C59">
      <w:pPr>
        <w:rPr>
          <w:rFonts w:ascii="楷体_GB2312" w:hAnsi="楷体_GB2312" w:eastAsia="楷体_GB2312" w:cs="楷体_GB2312"/>
        </w:rPr>
      </w:pPr>
    </w:p>
    <w:p w14:paraId="4B62176F">
      <w:pPr>
        <w:rPr>
          <w:rFonts w:ascii="楷体_GB2312" w:hAnsi="楷体_GB2312" w:eastAsia="楷体_GB2312" w:cs="楷体_GB2312"/>
        </w:rPr>
      </w:pPr>
    </w:p>
    <w:p w14:paraId="4D4DD563">
      <w:pPr>
        <w:rPr>
          <w:rFonts w:ascii="楷体_GB2312" w:hAnsi="楷体_GB2312" w:eastAsia="楷体_GB2312" w:cs="楷体_GB2312"/>
        </w:rPr>
      </w:pPr>
    </w:p>
    <w:p w14:paraId="22A89BF3">
      <w:pPr>
        <w:rPr>
          <w:rFonts w:ascii="楷体_GB2312" w:hAnsi="楷体_GB2312" w:eastAsia="楷体_GB2312" w:cs="楷体_GB2312"/>
        </w:rPr>
      </w:pPr>
    </w:p>
    <w:p w14:paraId="2F71ABFF">
      <w:pPr>
        <w:rPr>
          <w:rFonts w:ascii="楷体_GB2312" w:hAnsi="楷体_GB2312" w:eastAsia="楷体_GB2312" w:cs="楷体_GB2312"/>
        </w:rPr>
      </w:pPr>
    </w:p>
    <w:p w14:paraId="158074CA">
      <w:pPr>
        <w:rPr>
          <w:rFonts w:ascii="楷体_GB2312" w:hAnsi="楷体_GB2312" w:eastAsia="楷体_GB2312" w:cs="楷体_GB2312"/>
        </w:rPr>
      </w:pPr>
    </w:p>
    <w:p w14:paraId="7836615A">
      <w:pPr>
        <w:rPr>
          <w:rFonts w:ascii="楷体_GB2312" w:hAnsi="楷体_GB2312" w:eastAsia="楷体_GB2312" w:cs="楷体_GB2312"/>
        </w:rPr>
      </w:pPr>
    </w:p>
    <w:p w14:paraId="6973DE8B">
      <w:pPr>
        <w:rPr>
          <w:rFonts w:ascii="楷体_GB2312" w:hAnsi="楷体_GB2312" w:eastAsia="楷体_GB2312" w:cs="楷体_GB2312"/>
        </w:rPr>
      </w:pPr>
    </w:p>
    <w:p w14:paraId="37518024">
      <w:pPr>
        <w:rPr>
          <w:rFonts w:ascii="楷体_GB2312" w:hAnsi="楷体_GB2312" w:eastAsia="楷体_GB2312" w:cs="楷体_GB2312"/>
        </w:rPr>
      </w:pPr>
    </w:p>
    <w:p w14:paraId="6DB63D7A">
      <w:pPr>
        <w:rPr>
          <w:rFonts w:ascii="楷体_GB2312" w:hAnsi="楷体_GB2312" w:eastAsia="楷体_GB2312" w:cs="楷体_GB2312"/>
        </w:rPr>
      </w:pPr>
    </w:p>
    <w:p w14:paraId="62627685">
      <w:pPr>
        <w:rPr>
          <w:rFonts w:ascii="楷体_GB2312" w:hAnsi="楷体_GB2312" w:eastAsia="楷体_GB2312" w:cs="楷体_GB2312"/>
        </w:rPr>
      </w:pPr>
    </w:p>
    <w:p w14:paraId="33F174C5">
      <w:pPr>
        <w:rPr>
          <w:rFonts w:ascii="楷体_GB2312" w:hAnsi="楷体_GB2312" w:eastAsia="楷体_GB2312" w:cs="楷体_GB2312"/>
        </w:rPr>
      </w:pPr>
    </w:p>
    <w:p w14:paraId="3EACE83B">
      <w:pPr>
        <w:rPr>
          <w:rFonts w:ascii="楷体_GB2312" w:hAnsi="楷体_GB2312" w:eastAsia="楷体_GB2312" w:cs="楷体_GB2312"/>
        </w:rPr>
      </w:pPr>
    </w:p>
    <w:p w14:paraId="4AE5B6AA">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提案编号:009</w:t>
      </w:r>
    </w:p>
    <w:p w14:paraId="16AEEB47">
      <w:pPr>
        <w:spacing w:line="560" w:lineRule="exact"/>
        <w:rPr>
          <w:rFonts w:ascii="楷体_GB2312" w:hAnsi="黑体" w:eastAsia="楷体_GB2312"/>
          <w:sz w:val="32"/>
          <w:szCs w:val="32"/>
        </w:rPr>
      </w:pPr>
      <w:r>
        <w:rPr>
          <w:rFonts w:hint="eastAsia" w:ascii="楷体_GB2312" w:hAnsi="楷体_GB2312" w:eastAsia="楷体_GB2312" w:cs="楷体_GB2312"/>
          <w:sz w:val="32"/>
          <w:szCs w:val="32"/>
        </w:rPr>
        <w:t>提案名称:</w:t>
      </w:r>
      <w:r>
        <w:rPr>
          <w:rFonts w:hint="eastAsia" w:ascii="楷体_GB2312" w:eastAsia="楷体_GB2312"/>
          <w:sz w:val="32"/>
          <w:szCs w:val="32"/>
        </w:rPr>
        <w:t>关于促进冰雪消费、激发冰雪经济的提案</w:t>
      </w:r>
    </w:p>
    <w:p w14:paraId="63F3B96B">
      <w:pPr>
        <w:spacing w:line="600" w:lineRule="exact"/>
        <w:rPr>
          <w:rFonts w:ascii="楷体_GB2312" w:hAnsi="楷体_GB2312" w:eastAsia="楷体_GB2312" w:cs="楷体_GB2312"/>
          <w:bCs/>
          <w:spacing w:val="-17"/>
          <w:sz w:val="32"/>
          <w:szCs w:val="32"/>
        </w:rPr>
      </w:pPr>
      <w:r>
        <w:rPr>
          <w:rFonts w:hint="eastAsia" w:ascii="楷体_GB2312" w:hAnsi="楷体_GB2312" w:eastAsia="楷体_GB2312" w:cs="楷体_GB2312"/>
          <w:sz w:val="32"/>
          <w:szCs w:val="32"/>
        </w:rPr>
        <w:t xml:space="preserve">提 案 人: 纪安冉 </w:t>
      </w:r>
      <w:r>
        <w:rPr>
          <w:rFonts w:hint="eastAsia" w:ascii="楷体_GB2312" w:hAnsi="楷体_GB2312" w:eastAsia="楷体_GB2312" w:cs="楷体_GB2312"/>
          <w:bCs/>
          <w:spacing w:val="-17"/>
          <w:sz w:val="32"/>
          <w:szCs w:val="32"/>
        </w:rPr>
        <w:t>王凝楠</w:t>
      </w:r>
    </w:p>
    <w:p w14:paraId="4C531DB2">
      <w:pPr>
        <w:spacing w:line="600" w:lineRule="exact"/>
        <w:rPr>
          <w:rFonts w:ascii="楷体_GB2312" w:hAnsi="楷体_GB2312" w:eastAsia="楷体_GB2312" w:cs="楷体_GB2312"/>
          <w:bCs/>
          <w:spacing w:val="-17"/>
          <w:sz w:val="32"/>
          <w:szCs w:val="32"/>
        </w:rPr>
      </w:pPr>
      <w:r>
        <w:rPr>
          <w:rFonts w:hint="eastAsia" w:ascii="楷体_GB2312" w:hAnsi="楷体_GB2312" w:eastAsia="楷体_GB2312" w:cs="楷体_GB2312"/>
          <w:sz w:val="32"/>
          <w:szCs w:val="32"/>
        </w:rPr>
        <w:t xml:space="preserve">联系方式：15540665111 </w:t>
      </w:r>
      <w:r>
        <w:rPr>
          <w:rFonts w:hint="eastAsia" w:ascii="楷体_GB2312" w:hAnsi="楷体_GB2312" w:eastAsia="楷体_GB2312" w:cs="楷体_GB2312"/>
          <w:bCs/>
          <w:spacing w:val="-17"/>
          <w:sz w:val="32"/>
          <w:szCs w:val="32"/>
        </w:rPr>
        <w:t>15804862608</w:t>
      </w:r>
    </w:p>
    <w:p w14:paraId="067221F0">
      <w:pPr>
        <w:rPr>
          <w:rFonts w:ascii="楷体_GB2312" w:hAnsi="楷体_GB2312" w:eastAsia="楷体_GB2312" w:cs="楷体_GB2312"/>
          <w:sz w:val="32"/>
          <w:szCs w:val="32"/>
        </w:rPr>
      </w:pPr>
      <w:r>
        <w:rPr>
          <w:rFonts w:hint="eastAsia" w:ascii="楷体_GB2312" w:hAnsi="楷体_GB2312" w:eastAsia="楷体_GB2312" w:cs="楷体_GB2312"/>
          <w:sz w:val="32"/>
          <w:szCs w:val="32"/>
        </w:rPr>
        <w:t xml:space="preserve">界    别:文化体育和新闻 </w:t>
      </w:r>
      <w:r>
        <w:rPr>
          <w:rFonts w:hint="eastAsia" w:ascii="楷体_GB2312" w:hAnsi="楷体_GB2312" w:eastAsia="楷体_GB2312" w:cs="楷体_GB2312"/>
          <w:bCs/>
          <w:spacing w:val="-17"/>
          <w:sz w:val="32"/>
          <w:szCs w:val="32"/>
        </w:rPr>
        <w:t>妇女联合会</w:t>
      </w:r>
    </w:p>
    <w:p w14:paraId="6A81BECA">
      <w:pPr>
        <w:spacing w:line="560" w:lineRule="exact"/>
        <w:jc w:val="center"/>
        <w:rPr>
          <w:rFonts w:ascii="方正小标宋简体" w:hAnsi="黑体" w:eastAsia="方正小标宋简体"/>
          <w:sz w:val="44"/>
          <w:szCs w:val="44"/>
        </w:rPr>
      </w:pPr>
      <w:r>
        <w:rPr>
          <w:rFonts w:hint="eastAsia" w:ascii="方正小标宋简体" w:eastAsia="方正小标宋简体"/>
          <w:sz w:val="44"/>
          <w:szCs w:val="44"/>
        </w:rPr>
        <w:t>关于促进冰雪消费、激发冰雪经济的提案</w:t>
      </w:r>
    </w:p>
    <w:p w14:paraId="3A493D8B">
      <w:pPr>
        <w:spacing w:line="560" w:lineRule="exact"/>
      </w:pPr>
    </w:p>
    <w:p w14:paraId="2804BBB8">
      <w:pPr>
        <w:pStyle w:val="7"/>
        <w:spacing w:line="560" w:lineRule="exact"/>
        <w:ind w:left="0" w:leftChars="0"/>
        <w:rPr>
          <w:bCs/>
        </w:rPr>
      </w:pPr>
      <w:r>
        <w:rPr>
          <w:rFonts w:hint="eastAsia"/>
          <w:snapToGrid w:val="0"/>
        </w:rPr>
        <w:t>喀喇沁</w:t>
      </w:r>
      <w:bookmarkStart w:id="0" w:name="OLE_LINK84"/>
      <w:bookmarkStart w:id="1" w:name="OLE_LINK31"/>
      <w:r>
        <w:rPr>
          <w:rFonts w:hint="eastAsia"/>
          <w:snapToGrid w:val="0"/>
        </w:rPr>
        <w:t>旗为全面贯彻落实习近平总书记“冰天雪地也是金山银山”的发展理念和“把发展冰雪经济作为新增长点，推动冰雪运动、冰雪文化、冰雪装备、冰雪旅游全产业链发展”的重要指示精神，按照自治区政府关于“做到从东到西全域皆可游、春夏秋冬全年无淡季”，推动“冷资源”变成“热产业”，让内蒙古冬季旅游“火起来”的部署要求，</w:t>
      </w:r>
      <w:r>
        <w:rPr>
          <w:rFonts w:hint="eastAsia"/>
          <w:bCs/>
        </w:rPr>
        <w:t>通过举办大型冰雪赛事、节庆活动、开发冰雪旅游产品、打造冰雪文化IP等方式着力培树美林谷冰雪旅游品牌，持续扩大</w:t>
      </w:r>
      <w:bookmarkEnd w:id="0"/>
      <w:r>
        <w:rPr>
          <w:rFonts w:hint="eastAsia"/>
          <w:bCs/>
        </w:rPr>
        <w:t>国家滑雪度假地影响力。2023—2024年雪季，</w:t>
      </w:r>
      <w:r>
        <w:rPr>
          <w:rFonts w:hint="eastAsia" w:ascii="Times New Roman" w:hAnsi="Times New Roman" w:cs="Times New Roman"/>
          <w:lang w:bidi="zh-CN"/>
        </w:rPr>
        <w:t>美林谷滑雪场在政府的扶持下，通过与“来王府 过大年”赤峰首届新春主题灯会联动，</w:t>
      </w:r>
      <w:r>
        <w:rPr>
          <w:rFonts w:hint="eastAsia"/>
        </w:rPr>
        <w:t>累计接待游客22.5万人次，综合收入1.46亿元，成功打造赤峰市冬季旅游爆点。</w:t>
      </w:r>
      <w:r>
        <w:rPr>
          <w:bCs/>
        </w:rPr>
        <w:t>为了进一步</w:t>
      </w:r>
      <w:r>
        <w:rPr>
          <w:rFonts w:hint="eastAsia"/>
          <w:bCs/>
        </w:rPr>
        <w:t>繁荣</w:t>
      </w:r>
      <w:r>
        <w:rPr>
          <w:bCs/>
        </w:rPr>
        <w:t>冰雪经济，使其成为</w:t>
      </w:r>
      <w:r>
        <w:rPr>
          <w:rFonts w:hint="eastAsia"/>
          <w:bCs/>
        </w:rPr>
        <w:t>带</w:t>
      </w:r>
      <w:r>
        <w:rPr>
          <w:bCs/>
        </w:rPr>
        <w:t>动经济发展的新引擎，本文提出以下建议和期盼。</w:t>
      </w:r>
    </w:p>
    <w:p w14:paraId="7DBC667D">
      <w:pPr>
        <w:pStyle w:val="7"/>
        <w:spacing w:line="560" w:lineRule="exact"/>
        <w:ind w:left="0" w:leftChars="0"/>
      </w:pPr>
      <w:r>
        <w:rPr>
          <w:rFonts w:hint="eastAsia"/>
        </w:rPr>
        <w:t>通过考察调研，我们感到，虽然我旗的冰雪旅游近年来取得了很多成绩和亮点，但与哈尔滨、吉林、崇礼等冰雪旅游发达地区相比较，依然存在诸多短板和不足，主要表现在以下方面。</w:t>
      </w:r>
    </w:p>
    <w:p w14:paraId="54D41A23">
      <w:pPr>
        <w:pStyle w:val="7"/>
        <w:spacing w:line="560" w:lineRule="exact"/>
        <w:ind w:left="0" w:leftChars="0"/>
        <w:rPr>
          <w:rFonts w:ascii="黑体" w:hAnsi="黑体" w:eastAsia="黑体"/>
        </w:rPr>
      </w:pPr>
      <w:r>
        <w:rPr>
          <w:rFonts w:hint="eastAsia" w:ascii="黑体" w:hAnsi="黑体" w:eastAsia="黑体"/>
        </w:rPr>
        <w:t>一、存在问题</w:t>
      </w:r>
    </w:p>
    <w:p w14:paraId="4F7B1ED6">
      <w:pPr>
        <w:spacing w:line="560" w:lineRule="exact"/>
        <w:ind w:firstLine="640" w:firstLineChars="200"/>
        <w:rPr>
          <w:rFonts w:ascii="仿宋_GB2312" w:eastAsia="仿宋_GB2312"/>
          <w:sz w:val="32"/>
          <w:szCs w:val="32"/>
        </w:rPr>
      </w:pPr>
      <w:r>
        <w:rPr>
          <w:rFonts w:hint="eastAsia" w:ascii="楷体_GB2312" w:eastAsia="楷体_GB2312"/>
          <w:sz w:val="32"/>
          <w:szCs w:val="32"/>
        </w:rPr>
        <w:t>（一）缺少统一规划和政策扶持。</w:t>
      </w:r>
      <w:r>
        <w:rPr>
          <w:rFonts w:hint="eastAsia" w:ascii="仿宋_GB2312" w:eastAsia="仿宋_GB2312"/>
          <w:sz w:val="32"/>
          <w:szCs w:val="32"/>
        </w:rPr>
        <w:t>随着2022年北京冬季奥运会的成功举办，冰雪旅游逐渐呈现出由小众化旅游项目转变为大众旅游消费的新趋势，在我国北方迅速发展壮大。美林谷国家滑雪旅游度假地的成功创建，为喀喇沁旗冰雪旅游发展创造了良好条件。但目前我旗冰雪旅游业态单一，仅靠美林谷一个滑雪场作为发展平台远远不够。全旗缺乏针对全域范围内整体冰雪发展规划，为产业发展布局提供遵循。滑雪场投资大，建设周期长，加上当下经济形势影响，企业运营开发存在很多困难、缺乏投资信心，有关冰雪产业发展扶持政策尚不完善，未能及时提供支持。</w:t>
      </w:r>
    </w:p>
    <w:p w14:paraId="386D5497">
      <w:pPr>
        <w:spacing w:line="560" w:lineRule="exact"/>
        <w:ind w:firstLine="640" w:firstLineChars="200"/>
        <w:rPr>
          <w:rFonts w:ascii="仿宋_GB2312" w:eastAsia="仿宋_GB2312"/>
          <w:sz w:val="32"/>
          <w:szCs w:val="32"/>
        </w:rPr>
      </w:pPr>
      <w:r>
        <w:rPr>
          <w:rFonts w:hint="eastAsia" w:ascii="楷体_GB2312" w:eastAsia="楷体_GB2312"/>
          <w:sz w:val="32"/>
          <w:szCs w:val="32"/>
        </w:rPr>
        <w:t>（二）配套设施不完善、服务标准不规范。</w:t>
      </w:r>
      <w:r>
        <w:rPr>
          <w:rFonts w:hint="eastAsia" w:ascii="仿宋_GB2312" w:eastAsia="仿宋_GB2312"/>
          <w:sz w:val="32"/>
          <w:szCs w:val="32"/>
        </w:rPr>
        <w:t>美林谷滑雪场目前初级、中级、高级雪道共计17条，其中初级雪道占比15.66%，就目前游客日益高涨的亲子娱乐滑雪、大众娱乐滑雪项目需求看，初级雪道数量不足；滑雪核心区域范围内共有接待宾馆21 家和高端民宿群、小美林乡村民宿集群，营业房间总数 1012 间，滑雪出发大厅内有旅游厕所5座，厕位总数不足100个，以滑雪旺季平均接待游客20.7万人次计算，以上配套设施已不能满足旅游接待需求，急需全面提升改造；工作人员服务水平不高，日常业务培训不足，主动服务意识不强，缺少售票、设备租赁、换装、进入滑雪区各个环节的系统的流程引导，游客体验度不高。</w:t>
      </w:r>
    </w:p>
    <w:p w14:paraId="2B94C55E">
      <w:pPr>
        <w:spacing w:line="560" w:lineRule="exact"/>
        <w:ind w:firstLine="640" w:firstLineChars="200"/>
        <w:rPr>
          <w:rFonts w:ascii="仿宋_GB2312" w:eastAsia="仿宋_GB2312"/>
          <w:sz w:val="32"/>
          <w:szCs w:val="32"/>
        </w:rPr>
      </w:pPr>
      <w:r>
        <w:rPr>
          <w:rFonts w:hint="eastAsia" w:ascii="楷体_GB2312" w:eastAsia="楷体_GB2312"/>
          <w:sz w:val="32"/>
          <w:szCs w:val="32"/>
        </w:rPr>
        <w:t>（三）产品开发不够，融合度不高。</w:t>
      </w:r>
      <w:r>
        <w:rPr>
          <w:rFonts w:hint="eastAsia" w:ascii="仿宋_GB2312" w:eastAsia="仿宋_GB2312"/>
          <w:sz w:val="32"/>
          <w:szCs w:val="32"/>
        </w:rPr>
        <w:t>目前全旗的冰雪旅游产品局限于举办冰雪节庆活动、承办大型体育赛事等单一形式，活动热度持续周期短，内容不够丰富，无法充实整个冬季旅游时段。加上市场开发不到位，营销不足，对游客吸引力不强，吸附带动作用不够强，在与崇礼滑雪场等滑雪场横向对比中，竞争力弱势明显。同时，冰雪产品与文化、农业、康养、研学等方面融合度不高，未能形成业态融合体系。</w:t>
      </w:r>
    </w:p>
    <w:p w14:paraId="73792D23">
      <w:pPr>
        <w:spacing w:line="560" w:lineRule="exact"/>
        <w:ind w:firstLine="640" w:firstLineChars="200"/>
        <w:rPr>
          <w:rFonts w:ascii="仿宋_GB2312" w:eastAsia="仿宋_GB2312"/>
          <w:sz w:val="32"/>
          <w:szCs w:val="32"/>
        </w:rPr>
      </w:pPr>
      <w:r>
        <w:rPr>
          <w:rFonts w:hint="eastAsia" w:ascii="楷体_GB2312" w:eastAsia="楷体_GB2312"/>
          <w:sz w:val="32"/>
          <w:szCs w:val="32"/>
        </w:rPr>
        <w:t>（四）冰雪文化培育不足，缺乏吸引力。</w:t>
      </w:r>
      <w:r>
        <w:rPr>
          <w:rFonts w:hint="eastAsia" w:ascii="仿宋_GB2312" w:eastAsia="仿宋_GB2312"/>
          <w:sz w:val="32"/>
          <w:szCs w:val="32"/>
        </w:rPr>
        <w:t>我旗冰雪文化底蕴挖掘缺口较大，没有结合当地发展实际形成冰雪故事、冰雪传说、冰雪神话等文化内涵作为冰雪产业发展土壤，文旅融合度远远不够。文化IP打造特色不明显，缺少冰雪动画人物、冰雪吉祥物等形象代表，没有独有的冰雪文创产品，无法传播本土故事，加深游客印象。科技赋能方面几乎空白，智慧旅游体系建设处于起步阶段，发展缓慢。</w:t>
      </w:r>
    </w:p>
    <w:p w14:paraId="3B112221">
      <w:pPr>
        <w:spacing w:line="560" w:lineRule="exact"/>
        <w:rPr>
          <w:rFonts w:ascii="黑体" w:hAnsi="黑体" w:eastAsia="黑体"/>
          <w:sz w:val="32"/>
          <w:szCs w:val="32"/>
        </w:rPr>
      </w:pPr>
      <w:r>
        <w:rPr>
          <w:rFonts w:hint="eastAsia" w:ascii="黑体" w:hAnsi="黑体" w:eastAsia="黑体"/>
          <w:sz w:val="32"/>
          <w:szCs w:val="32"/>
        </w:rPr>
        <w:t>二、建议</w:t>
      </w:r>
    </w:p>
    <w:p w14:paraId="4F2C4516">
      <w:pPr>
        <w:spacing w:line="560" w:lineRule="exact"/>
        <w:ind w:firstLine="640" w:firstLineChars="200"/>
        <w:rPr>
          <w:rFonts w:ascii="仿宋_GB2312" w:eastAsia="仿宋_GB2312"/>
          <w:sz w:val="32"/>
          <w:szCs w:val="32"/>
        </w:rPr>
      </w:pPr>
      <w:r>
        <w:rPr>
          <w:rFonts w:hint="eastAsia" w:ascii="楷体_GB2312" w:eastAsia="楷体_GB2312"/>
          <w:sz w:val="32"/>
          <w:szCs w:val="32"/>
        </w:rPr>
        <w:t>（一）加强基础设施建设，提升场馆服务质量。</w:t>
      </w:r>
      <w:r>
        <w:rPr>
          <w:rFonts w:hint="eastAsia" w:ascii="仿宋_GB2312" w:eastAsia="仿宋_GB2312"/>
          <w:sz w:val="32"/>
          <w:szCs w:val="32"/>
        </w:rPr>
        <w:t>冰雪经济的发展离不开高质量的基础设施支持。政府应加大对冰雪场地设施的投入，因地制宜建设更多优质的滑雪场、冰场等场馆。同时，要提升现有场馆的服务水平，完善配套设施，为群众提供更好的冰雪运动体验。建议增加造雪机和雪道、加强服务业务培训，提升酒店和民宿接待能力，为游客提供更丰富的选择和更舒适的服务。</w:t>
      </w:r>
    </w:p>
    <w:p w14:paraId="22E89D7B">
      <w:pPr>
        <w:spacing w:line="560" w:lineRule="exact"/>
        <w:ind w:firstLine="640" w:firstLineChars="200"/>
        <w:rPr>
          <w:rFonts w:ascii="仿宋_GB2312" w:eastAsia="仿宋_GB2312"/>
          <w:sz w:val="32"/>
          <w:szCs w:val="32"/>
        </w:rPr>
      </w:pPr>
      <w:r>
        <w:rPr>
          <w:rFonts w:hint="eastAsia" w:ascii="楷体_GB2312" w:eastAsia="楷体_GB2312"/>
          <w:sz w:val="32"/>
          <w:szCs w:val="32"/>
        </w:rPr>
        <w:t>（二）丰富冰雪旅游产品，推动产业融合发展。</w:t>
      </w:r>
      <w:r>
        <w:rPr>
          <w:rFonts w:hint="eastAsia" w:ascii="仿宋_GB2312" w:eastAsia="仿宋_GB2312"/>
          <w:sz w:val="32"/>
          <w:szCs w:val="32"/>
        </w:rPr>
        <w:t>冰雪旅游是冰雪经济的重要组成部分，具有很强的导流效应。我们应结合自身特色，开发丰富多彩的冰雪旅游产品。同时，要推动冰雪旅游与文化、教育、培训等相关产业的深度融合，打造全产业链的综合发展模式。例如，通过打造全旗统一的冰雪形象IP、引入科技赋能等元素吸引更多游客参与，提升冰雪经济的综合效益。</w:t>
      </w:r>
    </w:p>
    <w:p w14:paraId="54877AB1">
      <w:pPr>
        <w:spacing w:line="560" w:lineRule="exact"/>
        <w:ind w:firstLine="640" w:firstLineChars="200"/>
        <w:rPr>
          <w:rFonts w:ascii="仿宋_GB2312" w:eastAsia="仿宋_GB2312"/>
          <w:sz w:val="32"/>
          <w:szCs w:val="32"/>
        </w:rPr>
      </w:pPr>
      <w:r>
        <w:rPr>
          <w:rFonts w:hint="eastAsia" w:ascii="楷体_GB2312" w:eastAsia="楷体_GB2312"/>
          <w:sz w:val="32"/>
          <w:szCs w:val="32"/>
        </w:rPr>
        <w:t>（三）加大冰雪文化培育，打造品牌赛事活动。</w:t>
      </w:r>
      <w:r>
        <w:rPr>
          <w:rFonts w:hint="eastAsia" w:ascii="仿宋_GB2312" w:eastAsia="仿宋_GB2312"/>
          <w:sz w:val="32"/>
          <w:szCs w:val="32"/>
        </w:rPr>
        <w:t>冰雪文化是冰雪经济的灵魂，具有很强的吸引力和凝聚力。政府应加强对冰雪文化的挖掘和培育，举办高水平的冰雪赛事活动，提升冰雪运动的文化内涵和影响力。国际雪联世界杯和全国十四冬等重要国际、国内赛事落户喀喇沁，带动了整体冰雪产业链条的协同发展。同时，应鼓励社会各界参与冰雪文化创作和传播，借鉴哈尔滨、吉林、崇礼等城市成功经验，做好冰雪赛事的“后半篇文章”，延长冰雪旅游火爆周期，打造具有中国特色的冰雪文化品牌。</w:t>
      </w:r>
    </w:p>
    <w:p w14:paraId="2201AB76">
      <w:pPr>
        <w:spacing w:line="560" w:lineRule="exact"/>
        <w:ind w:firstLine="640" w:firstLineChars="200"/>
        <w:rPr>
          <w:rFonts w:ascii="仿宋_GB2312" w:eastAsia="仿宋_GB2312"/>
          <w:sz w:val="32"/>
          <w:szCs w:val="32"/>
        </w:rPr>
      </w:pPr>
      <w:r>
        <w:rPr>
          <w:rFonts w:hint="eastAsia" w:ascii="楷体_GB2312" w:eastAsia="楷体_GB2312"/>
          <w:sz w:val="32"/>
          <w:szCs w:val="32"/>
        </w:rPr>
        <w:t>（四）强化政策支持，优化冰雪经济发展环境。</w:t>
      </w:r>
      <w:r>
        <w:rPr>
          <w:rFonts w:hint="eastAsia" w:ascii="仿宋_GB2312" w:eastAsia="仿宋_GB2312"/>
          <w:sz w:val="32"/>
          <w:szCs w:val="32"/>
        </w:rPr>
        <w:t>政府应出台更加具体、更有针对性的支持政策，为冰雪经济的发展提供有力保障。例如，在税收优惠、资金扶持、项目补贴等方面给予倾斜，支持冰雪产业重大项目的实施。同时，要加强冰雪经济相关法规和标准体系建设，规范市场秩序，保障消费者权益，促进冰雪经济的健康发展。</w:t>
      </w:r>
    </w:p>
    <w:p w14:paraId="4CABC786">
      <w:pPr>
        <w:spacing w:line="560" w:lineRule="exact"/>
        <w:rPr>
          <w:rFonts w:ascii="仿宋_GB2312" w:eastAsia="仿宋_GB2312"/>
          <w:sz w:val="32"/>
          <w:szCs w:val="32"/>
        </w:rPr>
      </w:pPr>
      <w:r>
        <w:rPr>
          <w:rFonts w:hint="eastAsia" w:ascii="仿宋_GB2312" w:eastAsia="仿宋_GB2312"/>
          <w:sz w:val="32"/>
          <w:szCs w:val="32"/>
        </w:rPr>
        <w:t>综上所述，拉动冰雪经济需要政府、企业、社会各界的共同努力。通过加强基础设施建设、丰富冰雪旅游产品、加大冰雪文化培育、强化政策支持和加强国际合作等措施，我们相信，我旗冰雪经济一定能够实现高质量发展，为推动经济社会发展作出更大的贡献。</w:t>
      </w:r>
    </w:p>
    <w:bookmarkEnd w:id="1"/>
    <w:p w14:paraId="15EFC154">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提案编号：010</w:t>
      </w:r>
    </w:p>
    <w:p w14:paraId="24EFD73A">
      <w:pPr>
        <w:spacing w:line="560" w:lineRule="exact"/>
        <w:rPr>
          <w:rFonts w:ascii="楷体_GB2312" w:hAnsi="Times New Roman" w:eastAsia="楷体_GB2312" w:cs="Times New Roman"/>
          <w:sz w:val="32"/>
          <w:szCs w:val="32"/>
        </w:rPr>
      </w:pPr>
      <w:r>
        <w:rPr>
          <w:rFonts w:hint="eastAsia" w:ascii="楷体_GB2312" w:hAnsi="方正楷体_GBK" w:eastAsia="楷体_GB2312" w:cs="方正楷体_GBK"/>
          <w:color w:val="000000"/>
          <w:spacing w:val="5"/>
          <w:sz w:val="32"/>
          <w:szCs w:val="32"/>
        </w:rPr>
        <w:t>提案名称：</w:t>
      </w:r>
      <w:r>
        <w:rPr>
          <w:rFonts w:hint="eastAsia" w:ascii="楷体_GB2312" w:hAnsi="Times New Roman" w:eastAsia="楷体_GB2312" w:cs="Times New Roman"/>
          <w:sz w:val="32"/>
          <w:szCs w:val="32"/>
        </w:rPr>
        <w:t>关于促进我旗矿业经济高质量发展的提案</w:t>
      </w:r>
    </w:p>
    <w:p w14:paraId="219AF746">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 案 人：</w:t>
      </w:r>
      <w:r>
        <w:rPr>
          <w:rFonts w:hint="eastAsia" w:ascii="楷体_GB2312" w:hAnsi="宋体" w:eastAsia="楷体_GB2312" w:cs="宋体"/>
          <w:sz w:val="32"/>
          <w:szCs w:val="32"/>
        </w:rPr>
        <w:t>李春梅</w:t>
      </w:r>
    </w:p>
    <w:p w14:paraId="17657999">
      <w:pPr>
        <w:spacing w:line="560" w:lineRule="exact"/>
        <w:rPr>
          <w:rFonts w:ascii="楷体_GB2312" w:hAnsi="华文仿宋" w:eastAsia="楷体_GB2312" w:cs="华文仿宋"/>
          <w:kern w:val="0"/>
          <w:sz w:val="32"/>
          <w:szCs w:val="32"/>
        </w:rPr>
      </w:pPr>
      <w:r>
        <w:rPr>
          <w:rFonts w:hint="eastAsia" w:ascii="楷体_GB2312" w:hAnsi="方正楷体_GBK" w:eastAsia="楷体_GB2312" w:cs="方正楷体_GBK"/>
          <w:color w:val="000000"/>
          <w:spacing w:val="5"/>
          <w:sz w:val="32"/>
          <w:szCs w:val="32"/>
        </w:rPr>
        <w:t>联系方式：</w:t>
      </w:r>
      <w:r>
        <w:rPr>
          <w:rFonts w:hint="eastAsia" w:ascii="楷体_GB2312" w:hAnsi="华文仿宋" w:eastAsia="楷体_GB2312" w:cs="华文仿宋"/>
          <w:kern w:val="0"/>
          <w:sz w:val="32"/>
          <w:szCs w:val="32"/>
        </w:rPr>
        <w:t>15504768298</w:t>
      </w:r>
    </w:p>
    <w:p w14:paraId="289F92AE">
      <w:pPr>
        <w:pStyle w:val="11"/>
        <w:widowControl/>
        <w:tabs>
          <w:tab w:val="center" w:pos="4153"/>
        </w:tabs>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界    别：社会科学</w:t>
      </w:r>
    </w:p>
    <w:p w14:paraId="26C6A5FC">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促进我旗矿业经济高质量发展</w:t>
      </w:r>
      <w:r>
        <w:rPr>
          <w:rFonts w:ascii="Times New Roman" w:hAnsi="Times New Roman" w:eastAsia="方正小标宋简体" w:cs="Times New Roman"/>
          <w:sz w:val="44"/>
          <w:szCs w:val="44"/>
        </w:rPr>
        <w:t>的</w:t>
      </w:r>
      <w:r>
        <w:rPr>
          <w:rFonts w:hint="eastAsia" w:ascii="Times New Roman" w:hAnsi="Times New Roman" w:eastAsia="方正小标宋简体" w:cs="Times New Roman"/>
          <w:sz w:val="44"/>
          <w:szCs w:val="44"/>
        </w:rPr>
        <w:t>提案</w:t>
      </w:r>
    </w:p>
    <w:p w14:paraId="29DCF79A">
      <w:pPr>
        <w:rPr>
          <w:rFonts w:ascii="宋体" w:hAnsi="宋体" w:cs="宋体"/>
          <w:sz w:val="32"/>
          <w:szCs w:val="32"/>
        </w:rPr>
      </w:pPr>
    </w:p>
    <w:p w14:paraId="15AFAD1E">
      <w:pPr>
        <w:pStyle w:val="23"/>
        <w:numPr>
          <w:ilvl w:val="0"/>
          <w:numId w:val="2"/>
        </w:numPr>
        <w:spacing w:after="0" w:line="560" w:lineRule="exact"/>
        <w:ind w:firstLine="640" w:firstLineChars="200"/>
        <w:rPr>
          <w:rFonts w:ascii="黑体" w:hAnsi="黑体" w:eastAsia="黑体"/>
          <w:b w:val="0"/>
          <w:bCs/>
          <w:sz w:val="32"/>
          <w:szCs w:val="32"/>
        </w:rPr>
      </w:pPr>
      <w:r>
        <w:rPr>
          <w:rFonts w:hint="eastAsia" w:ascii="黑体" w:hAnsi="黑体" w:eastAsia="黑体"/>
          <w:b w:val="0"/>
          <w:bCs/>
          <w:sz w:val="32"/>
          <w:szCs w:val="32"/>
        </w:rPr>
        <w:t>我旗矿产资源基本情况</w:t>
      </w:r>
    </w:p>
    <w:p w14:paraId="7FF761BA">
      <w:pPr>
        <w:pStyle w:val="23"/>
        <w:spacing w:after="0" w:line="560" w:lineRule="exact"/>
        <w:ind w:firstLine="0" w:firstLineChars="0"/>
        <w:rPr>
          <w:rFonts w:hAnsi="华文仿宋" w:cs="华文仿宋"/>
          <w:sz w:val="32"/>
          <w:szCs w:val="32"/>
        </w:rPr>
      </w:pPr>
      <w:r>
        <w:rPr>
          <w:rFonts w:hint="eastAsia" w:ascii="华文仿宋" w:hAnsi="华文仿宋" w:eastAsia="华文仿宋" w:cs="华文仿宋"/>
          <w:sz w:val="32"/>
          <w:szCs w:val="32"/>
        </w:rPr>
        <w:t xml:space="preserve">   </w:t>
      </w:r>
      <w:r>
        <w:rPr>
          <w:rFonts w:hint="eastAsia" w:hAnsi="华文仿宋" w:cs="华文仿宋"/>
          <w:sz w:val="32"/>
          <w:szCs w:val="32"/>
        </w:rPr>
        <w:t xml:space="preserve"> </w:t>
      </w:r>
      <w:r>
        <w:rPr>
          <w:rFonts w:hint="eastAsia" w:hAnsi="华文仿宋" w:cs="华文仿宋"/>
          <w:b w:val="0"/>
          <w:bCs/>
          <w:sz w:val="32"/>
          <w:szCs w:val="32"/>
        </w:rPr>
        <w:t>矿产资源是经济社会发展的重要物质基础，我旗境内已发现矿种23种，矿产地近200余处。有优势矿种：金、萤石、石灰石，地热、矿泉水等，铜、钼也极具潜力。我旗共有采矿权92宗，按开采矿种分类：黄金16宗、萤石35宗、石灰石7宗、珍珠岩4宗、硅石3宗、叶腊石2宗，煤炭、银锌铅铜、铜钼、铁矿、矿泉水、铜、沸石矿各1宗、建筑用石18宗。按开采方式分类：井工开采矿山59宗，露天开采矿山34宗。共有探矿权30宗，以勘查黄金、铜为主。</w:t>
      </w:r>
    </w:p>
    <w:p w14:paraId="36ADAF6E">
      <w:pPr>
        <w:spacing w:line="560" w:lineRule="exact"/>
        <w:ind w:firstLine="643" w:firstLineChars="200"/>
        <w:rPr>
          <w:rFonts w:ascii="黑体" w:hAnsi="黑体" w:eastAsia="黑体"/>
          <w:sz w:val="32"/>
          <w:szCs w:val="32"/>
        </w:rPr>
      </w:pPr>
      <w:r>
        <w:rPr>
          <w:rFonts w:hint="eastAsia" w:ascii="黑体" w:hAnsi="黑体" w:eastAsia="黑体" w:cs="华文仿宋"/>
          <w:b/>
          <w:bCs/>
          <w:sz w:val="32"/>
          <w:szCs w:val="32"/>
        </w:rPr>
        <w:t>二、</w:t>
      </w:r>
      <w:r>
        <w:rPr>
          <w:rFonts w:hint="eastAsia" w:ascii="黑体" w:hAnsi="黑体" w:eastAsia="黑体"/>
          <w:sz w:val="32"/>
          <w:szCs w:val="32"/>
        </w:rPr>
        <w:t>我旗矿业经济高质量发展存在的问题</w:t>
      </w:r>
    </w:p>
    <w:p w14:paraId="0AFC64B2">
      <w:pPr>
        <w:spacing w:line="560" w:lineRule="exact"/>
        <w:ind w:firstLine="640" w:firstLineChars="200"/>
        <w:rPr>
          <w:rFonts w:ascii="仿宋_GB2312" w:hAnsi="华文仿宋" w:eastAsia="仿宋_GB2312" w:cs="华文仿宋"/>
          <w:b/>
          <w:bCs/>
          <w:sz w:val="32"/>
          <w:szCs w:val="32"/>
        </w:rPr>
      </w:pPr>
      <w:r>
        <w:rPr>
          <w:rFonts w:hint="eastAsia" w:ascii="楷体" w:hAnsi="楷体" w:eastAsia="楷体" w:cs="华文仿宋"/>
          <w:bCs/>
          <w:sz w:val="32"/>
          <w:szCs w:val="32"/>
        </w:rPr>
        <w:t>（一）矿区与森林公园重叠，资源开发利用困难.</w:t>
      </w:r>
      <w:r>
        <w:rPr>
          <w:rFonts w:hint="eastAsia" w:ascii="仿宋_GB2312" w:hAnsi="华文仿宋" w:eastAsia="仿宋_GB2312" w:cs="华文仿宋"/>
          <w:color w:val="000000"/>
          <w:kern w:val="0"/>
          <w:sz w:val="32"/>
          <w:szCs w:val="32"/>
        </w:rPr>
        <w:t>矿业权与保护地重叠问题有待解决。喀喇沁旗金宝利矿业有限责任公司、赤峰市海业矿产有限责任公司、赤峰市氡矿泉饮品有限公司等13家矿山企业与旺业甸国家森林公园范围重叠，难以进行生产及矿业权交易，矿产资源开发利用存在困难。</w:t>
      </w:r>
    </w:p>
    <w:p w14:paraId="7B0FF8A0">
      <w:pPr>
        <w:numPr>
          <w:ilvl w:val="0"/>
          <w:numId w:val="3"/>
        </w:numPr>
        <w:spacing w:line="560" w:lineRule="exact"/>
        <w:ind w:firstLine="640" w:firstLineChars="200"/>
        <w:rPr>
          <w:rFonts w:ascii="仿宋_GB2312" w:hAnsi="华文仿宋" w:eastAsia="仿宋_GB2312" w:cs="华文仿宋"/>
          <w:b/>
          <w:bCs/>
          <w:sz w:val="32"/>
          <w:szCs w:val="32"/>
        </w:rPr>
      </w:pPr>
      <w:r>
        <w:rPr>
          <w:rFonts w:hint="eastAsia" w:ascii="楷体" w:hAnsi="楷体" w:eastAsia="楷体" w:cs="华文仿宋"/>
          <w:bCs/>
          <w:sz w:val="32"/>
          <w:szCs w:val="32"/>
        </w:rPr>
        <w:t>矿业权设置分散，资源整合难度大.</w:t>
      </w:r>
      <w:r>
        <w:rPr>
          <w:rFonts w:hint="eastAsia" w:ascii="仿宋_GB2312" w:hAnsi="宋体" w:eastAsia="仿宋_GB2312" w:cs="宋体"/>
          <w:sz w:val="32"/>
          <w:szCs w:val="32"/>
        </w:rPr>
        <w:t>我旗矿业权设置总体呈现</w:t>
      </w:r>
      <w:r>
        <w:rPr>
          <w:rFonts w:hint="eastAsia" w:ascii="仿宋_GB2312" w:hAnsi="Malgun Gothic Semilight" w:eastAsia="仿宋_GB2312" w:cs="Malgun Gothic Semilight"/>
          <w:sz w:val="32"/>
          <w:szCs w:val="32"/>
        </w:rPr>
        <w:t>“</w:t>
      </w:r>
      <w:r>
        <w:rPr>
          <w:rFonts w:hint="eastAsia" w:ascii="仿宋_GB2312" w:hAnsi="宋体" w:eastAsia="仿宋_GB2312" w:cs="宋体"/>
          <w:sz w:val="32"/>
          <w:szCs w:val="32"/>
        </w:rPr>
        <w:t>小</w:t>
      </w:r>
      <w:r>
        <w:rPr>
          <w:rFonts w:hint="eastAsia" w:ascii="仿宋_GB2312" w:hAnsi="Malgun Gothic Semilight" w:eastAsia="仿宋_GB2312" w:cs="Malgun Gothic Semilight"/>
          <w:sz w:val="32"/>
          <w:szCs w:val="32"/>
        </w:rPr>
        <w:t>、</w:t>
      </w:r>
      <w:r>
        <w:rPr>
          <w:rFonts w:hint="eastAsia" w:ascii="仿宋_GB2312" w:hAnsi="宋体" w:eastAsia="仿宋_GB2312" w:cs="宋体"/>
          <w:sz w:val="32"/>
          <w:szCs w:val="32"/>
        </w:rPr>
        <w:t>散</w:t>
      </w:r>
      <w:r>
        <w:rPr>
          <w:rFonts w:hint="eastAsia" w:ascii="仿宋_GB2312" w:hAnsi="Malgun Gothic Semilight" w:eastAsia="仿宋_GB2312" w:cs="Malgun Gothic Semilight"/>
          <w:sz w:val="32"/>
          <w:szCs w:val="32"/>
        </w:rPr>
        <w:t>、</w:t>
      </w:r>
      <w:r>
        <w:rPr>
          <w:rFonts w:hint="eastAsia" w:ascii="仿宋_GB2312" w:hAnsi="宋体" w:eastAsia="仿宋_GB2312" w:cs="宋体"/>
          <w:sz w:val="32"/>
          <w:szCs w:val="32"/>
        </w:rPr>
        <w:t>乱</w:t>
      </w:r>
      <w:r>
        <w:rPr>
          <w:rFonts w:hint="eastAsia" w:ascii="仿宋_GB2312" w:hAnsi="Malgun Gothic Semilight" w:eastAsia="仿宋_GB2312" w:cs="Malgun Gothic Semilight"/>
          <w:sz w:val="32"/>
          <w:szCs w:val="32"/>
        </w:rPr>
        <w:t>”</w:t>
      </w:r>
      <w:r>
        <w:rPr>
          <w:rFonts w:hint="eastAsia" w:ascii="仿宋_GB2312" w:hAnsi="宋体" w:eastAsia="仿宋_GB2312" w:cs="宋体"/>
          <w:sz w:val="32"/>
          <w:szCs w:val="32"/>
        </w:rPr>
        <w:t>特点</w:t>
      </w:r>
      <w:r>
        <w:rPr>
          <w:rFonts w:hint="eastAsia" w:ascii="仿宋_GB2312" w:hAnsi="Malgun Gothic Semilight" w:eastAsia="仿宋_GB2312" w:cs="Malgun Gothic Semilight"/>
          <w:sz w:val="32"/>
          <w:szCs w:val="32"/>
        </w:rPr>
        <w:t>。</w:t>
      </w:r>
      <w:r>
        <w:rPr>
          <w:rFonts w:hint="eastAsia" w:ascii="仿宋_GB2312" w:hAnsi="宋体" w:eastAsia="仿宋_GB2312" w:cs="宋体"/>
          <w:sz w:val="32"/>
          <w:szCs w:val="32"/>
        </w:rPr>
        <w:t>按生产规模划分</w:t>
      </w:r>
      <w:r>
        <w:rPr>
          <w:rFonts w:hint="eastAsia" w:ascii="仿宋_GB2312" w:hAnsi="Malgun Gothic Semilight" w:eastAsia="仿宋_GB2312" w:cs="Malgun Gothic Semilight"/>
          <w:sz w:val="32"/>
          <w:szCs w:val="32"/>
        </w:rPr>
        <w:t>：</w:t>
      </w:r>
      <w:r>
        <w:rPr>
          <w:rFonts w:hint="eastAsia" w:ascii="仿宋_GB2312" w:hAnsi="宋体" w:eastAsia="仿宋_GB2312" w:cs="宋体"/>
          <w:sz w:val="32"/>
          <w:szCs w:val="32"/>
        </w:rPr>
        <w:t>大</w:t>
      </w:r>
      <w:r>
        <w:rPr>
          <w:rFonts w:hint="eastAsia" w:ascii="仿宋_GB2312" w:hAnsi="Malgun Gothic Semilight" w:eastAsia="仿宋_GB2312" w:cs="Malgun Gothic Semilight"/>
          <w:sz w:val="32"/>
          <w:szCs w:val="32"/>
        </w:rPr>
        <w:t>、</w:t>
      </w:r>
      <w:r>
        <w:rPr>
          <w:rFonts w:hint="eastAsia" w:ascii="仿宋_GB2312" w:hAnsi="宋体" w:eastAsia="仿宋_GB2312" w:cs="宋体"/>
          <w:sz w:val="32"/>
          <w:szCs w:val="32"/>
        </w:rPr>
        <w:t>中</w:t>
      </w:r>
      <w:r>
        <w:rPr>
          <w:rFonts w:hint="eastAsia" w:ascii="仿宋_GB2312" w:hAnsi="Malgun Gothic Semilight" w:eastAsia="仿宋_GB2312" w:cs="Malgun Gothic Semilight"/>
          <w:sz w:val="32"/>
          <w:szCs w:val="32"/>
        </w:rPr>
        <w:t>、</w:t>
      </w:r>
      <w:r>
        <w:rPr>
          <w:rFonts w:hint="eastAsia" w:ascii="仿宋_GB2312" w:hAnsi="宋体" w:eastAsia="仿宋_GB2312" w:cs="宋体"/>
          <w:sz w:val="32"/>
          <w:szCs w:val="32"/>
        </w:rPr>
        <w:t>小型矿山数量分别为</w:t>
      </w:r>
      <w:r>
        <w:rPr>
          <w:rFonts w:hint="eastAsia" w:ascii="仿宋_GB2312" w:hAnsi="华文仿宋" w:eastAsia="仿宋_GB2312" w:cs="华文仿宋"/>
          <w:sz w:val="32"/>
          <w:szCs w:val="32"/>
        </w:rPr>
        <w:t>3</w:t>
      </w:r>
      <w:r>
        <w:rPr>
          <w:rFonts w:hint="eastAsia" w:ascii="仿宋_GB2312" w:hAnsi="宋体" w:eastAsia="仿宋_GB2312" w:cs="宋体"/>
          <w:sz w:val="32"/>
          <w:szCs w:val="32"/>
        </w:rPr>
        <w:t>家</w:t>
      </w:r>
      <w:r>
        <w:rPr>
          <w:rFonts w:hint="eastAsia" w:ascii="仿宋_GB2312" w:hAnsi="Malgun Gothic Semilight" w:eastAsia="仿宋_GB2312" w:cs="Malgun Gothic Semilight"/>
          <w:sz w:val="32"/>
          <w:szCs w:val="32"/>
        </w:rPr>
        <w:t>、</w:t>
      </w:r>
      <w:r>
        <w:rPr>
          <w:rFonts w:hint="eastAsia" w:ascii="仿宋_GB2312" w:hAnsi="华文仿宋" w:eastAsia="仿宋_GB2312" w:cs="华文仿宋"/>
          <w:sz w:val="32"/>
          <w:szCs w:val="32"/>
        </w:rPr>
        <w:t>21</w:t>
      </w:r>
      <w:r>
        <w:rPr>
          <w:rFonts w:hint="eastAsia" w:ascii="仿宋_GB2312" w:hAnsi="宋体" w:eastAsia="仿宋_GB2312" w:cs="宋体"/>
          <w:sz w:val="32"/>
          <w:szCs w:val="32"/>
        </w:rPr>
        <w:t>家</w:t>
      </w:r>
      <w:r>
        <w:rPr>
          <w:rFonts w:hint="eastAsia" w:ascii="仿宋_GB2312" w:hAnsi="Malgun Gothic Semilight" w:eastAsia="仿宋_GB2312" w:cs="Malgun Gothic Semilight"/>
          <w:sz w:val="32"/>
          <w:szCs w:val="32"/>
        </w:rPr>
        <w:t>、</w:t>
      </w:r>
      <w:r>
        <w:rPr>
          <w:rFonts w:hint="eastAsia" w:ascii="仿宋_GB2312" w:hAnsi="华文仿宋" w:eastAsia="仿宋_GB2312" w:cs="华文仿宋"/>
          <w:sz w:val="32"/>
          <w:szCs w:val="32"/>
        </w:rPr>
        <w:t>70</w:t>
      </w:r>
      <w:r>
        <w:rPr>
          <w:rFonts w:hint="eastAsia" w:ascii="仿宋_GB2312" w:hAnsi="宋体" w:eastAsia="仿宋_GB2312" w:cs="宋体"/>
          <w:sz w:val="32"/>
          <w:szCs w:val="32"/>
        </w:rPr>
        <w:t>家</w:t>
      </w:r>
      <w:r>
        <w:rPr>
          <w:rFonts w:hint="eastAsia" w:ascii="仿宋_GB2312" w:hAnsi="Malgun Gothic Semilight" w:eastAsia="仿宋_GB2312" w:cs="Malgun Gothic Semilight"/>
          <w:sz w:val="32"/>
          <w:szCs w:val="32"/>
        </w:rPr>
        <w:t>。</w:t>
      </w:r>
      <w:r>
        <w:rPr>
          <w:rFonts w:hint="eastAsia" w:ascii="仿宋_GB2312" w:hAnsi="华文仿宋" w:eastAsia="仿宋_GB2312" w:cs="华文仿宋"/>
          <w:sz w:val="32"/>
          <w:szCs w:val="32"/>
        </w:rPr>
        <w:t>2024</w:t>
      </w:r>
      <w:r>
        <w:rPr>
          <w:rFonts w:hint="eastAsia" w:ascii="仿宋_GB2312" w:hAnsi="宋体" w:eastAsia="仿宋_GB2312" w:cs="宋体"/>
          <w:sz w:val="32"/>
          <w:szCs w:val="32"/>
        </w:rPr>
        <w:t>年仅有</w:t>
      </w:r>
      <w:r>
        <w:rPr>
          <w:rFonts w:hint="eastAsia" w:ascii="仿宋_GB2312" w:hAnsi="华文仿宋" w:eastAsia="仿宋_GB2312" w:cs="华文仿宋"/>
          <w:sz w:val="32"/>
          <w:szCs w:val="32"/>
        </w:rPr>
        <w:t>5</w:t>
      </w:r>
      <w:r>
        <w:rPr>
          <w:rFonts w:hint="eastAsia" w:ascii="仿宋_GB2312" w:hAnsi="宋体" w:eastAsia="仿宋_GB2312" w:cs="宋体"/>
          <w:sz w:val="32"/>
          <w:szCs w:val="32"/>
        </w:rPr>
        <w:t>家矿山正常生产</w:t>
      </w:r>
      <w:r>
        <w:rPr>
          <w:rFonts w:hint="eastAsia" w:ascii="仿宋_GB2312" w:hAnsi="Malgun Gothic Semilight" w:eastAsia="仿宋_GB2312" w:cs="Malgun Gothic Semilight"/>
          <w:sz w:val="32"/>
          <w:szCs w:val="32"/>
        </w:rPr>
        <w:t>，</w:t>
      </w:r>
      <w:r>
        <w:rPr>
          <w:rFonts w:hint="eastAsia" w:ascii="仿宋_GB2312" w:hAnsi="华文仿宋" w:eastAsia="仿宋_GB2312" w:cs="华文仿宋"/>
          <w:sz w:val="32"/>
          <w:szCs w:val="32"/>
        </w:rPr>
        <w:t>2</w:t>
      </w:r>
      <w:r>
        <w:rPr>
          <w:rFonts w:hint="eastAsia" w:ascii="仿宋_GB2312" w:hAnsi="宋体" w:eastAsia="仿宋_GB2312" w:cs="宋体"/>
          <w:sz w:val="32"/>
          <w:szCs w:val="32"/>
        </w:rPr>
        <w:t>家正在开展安全生产三同时建设</w:t>
      </w:r>
      <w:r>
        <w:rPr>
          <w:rFonts w:hint="eastAsia" w:ascii="仿宋_GB2312" w:hAnsi="Malgun Gothic Semilight" w:eastAsia="仿宋_GB2312" w:cs="Malgun Gothic Semilight"/>
          <w:sz w:val="32"/>
          <w:szCs w:val="32"/>
        </w:rPr>
        <w:t>。</w:t>
      </w:r>
    </w:p>
    <w:p w14:paraId="1D33B879">
      <w:pPr>
        <w:pStyle w:val="6"/>
        <w:spacing w:after="0" w:line="560" w:lineRule="exact"/>
        <w:ind w:firstLine="640" w:firstLineChars="200"/>
        <w:rPr>
          <w:rFonts w:ascii="仿宋_GB2312" w:hAnsi="华文仿宋" w:eastAsia="仿宋_GB2312" w:cs="华文仿宋"/>
          <w:sz w:val="32"/>
          <w:szCs w:val="32"/>
        </w:rPr>
      </w:pPr>
      <w:r>
        <w:rPr>
          <w:rFonts w:hint="eastAsia" w:ascii="仿宋_GB2312" w:hAnsi="华文仿宋" w:eastAsia="仿宋_GB2312" w:cs="华文仿宋"/>
          <w:sz w:val="32"/>
          <w:szCs w:val="32"/>
        </w:rPr>
        <w:t>本地区存在众多独立的矿权主体，这些矿权主体在矿产资源的勘探、开采和销售方面各自为政，造成了资源开发的碎片化现象。此外，由于缺乏统一的规划和协调，各主体间易产生资源浪费和环境破坏等问题，同时可能引发利益冲突，影响社会稳定和经济发展。</w:t>
      </w:r>
    </w:p>
    <w:p w14:paraId="3E7BBF89">
      <w:pPr>
        <w:pStyle w:val="6"/>
        <w:spacing w:after="0" w:line="560" w:lineRule="exact"/>
        <w:ind w:firstLine="640" w:firstLineChars="200"/>
        <w:rPr>
          <w:rFonts w:ascii="仿宋_GB2312" w:hAnsi="华文仿宋" w:eastAsia="仿宋_GB2312" w:cs="华文仿宋"/>
          <w:sz w:val="32"/>
          <w:szCs w:val="32"/>
        </w:rPr>
      </w:pPr>
      <w:r>
        <w:rPr>
          <w:rFonts w:hint="eastAsia" w:ascii="仿宋_GB2312" w:hAnsi="华文仿宋" w:eastAsia="仿宋_GB2312" w:cs="华文仿宋"/>
          <w:sz w:val="32"/>
          <w:szCs w:val="32"/>
        </w:rPr>
        <w:t>在技术、资金和管理层面，资源整合的难度进一步凸显。整合资源不仅需要巨额资金投入，还需依托先进的技术手段和科学的管理方法。在整合过程中，如何平衡各方利益、确保资源高效利用，成为亟待解决的关键问题。</w:t>
      </w:r>
    </w:p>
    <w:p w14:paraId="2AB890CA">
      <w:pPr>
        <w:pStyle w:val="6"/>
        <w:rPr>
          <w:rFonts w:ascii="仿宋_GB2312" w:hAnsi="华文仿宋" w:eastAsia="仿宋_GB2312" w:cs="华文仿宋"/>
          <w:sz w:val="32"/>
          <w:szCs w:val="32"/>
        </w:rPr>
      </w:pPr>
      <w:r>
        <w:rPr>
          <w:rFonts w:hint="eastAsia" w:ascii="仿宋_GB2312" w:hAnsi="华文仿宋" w:eastAsia="仿宋_GB2312" w:cs="华文仿宋"/>
          <w:sz w:val="32"/>
          <w:szCs w:val="32"/>
        </w:rPr>
        <w:t>政策和法规层面的限制也是资源整合过程中不可忽视的难题。矿业权整合可能涉及现行法律法规的调整，需要政府相关部门的大力支持和密切配合。同时，整合方案必须充分考虑当地居民的利益和意见，确保得到社会的广泛认同。</w:t>
      </w:r>
    </w:p>
    <w:p w14:paraId="0534F138">
      <w:pPr>
        <w:numPr>
          <w:ilvl w:val="0"/>
          <w:numId w:val="3"/>
        </w:numPr>
        <w:spacing w:line="560" w:lineRule="exact"/>
        <w:ind w:firstLine="640" w:firstLineChars="200"/>
        <w:rPr>
          <w:rFonts w:ascii="仿宋_GB2312" w:hAnsi="华文仿宋" w:eastAsia="仿宋_GB2312" w:cs="华文仿宋"/>
          <w:b/>
          <w:bCs/>
          <w:sz w:val="32"/>
          <w:szCs w:val="32"/>
        </w:rPr>
      </w:pPr>
      <w:r>
        <w:rPr>
          <w:rFonts w:hint="eastAsia" w:ascii="楷体" w:hAnsi="楷体" w:eastAsia="楷体" w:cs="华文仿宋"/>
          <w:bCs/>
          <w:sz w:val="32"/>
          <w:szCs w:val="32"/>
        </w:rPr>
        <w:t>资源利用率低，产业落后，链条短.</w:t>
      </w:r>
      <w:r>
        <w:rPr>
          <w:rFonts w:hint="eastAsia" w:ascii="仿宋_GB2312" w:hAnsi="华文仿宋" w:eastAsia="仿宋_GB2312" w:cs="华文仿宋"/>
          <w:sz w:val="32"/>
          <w:szCs w:val="32"/>
        </w:rPr>
        <w:t>资源利用率的低下反映出我们在开采技术革新和资源循环利用机制建设方面存在不足，这需要我们进一步加强科技创新，提升资源综合利用效率。同时产业层次的滞后揭示了我们在矿业技术进步和产业转型升级方面的任务依然艰巨，亟需我们加大研发投入，推动矿业技术革新，激发产业活力。产业链条的不完善表明我们在矿业产品深加工和高附加值产业培育方面还需加大力度，以实现矿业经济的深度增值。</w:t>
      </w:r>
    </w:p>
    <w:p w14:paraId="3B122F54">
      <w:pPr>
        <w:numPr>
          <w:ilvl w:val="0"/>
          <w:numId w:val="3"/>
        </w:numPr>
        <w:spacing w:line="560" w:lineRule="exact"/>
        <w:ind w:firstLine="640" w:firstLineChars="200"/>
        <w:rPr>
          <w:rFonts w:ascii="仿宋_GB2312" w:hAnsi="华文仿宋" w:eastAsia="仿宋_GB2312" w:cs="华文仿宋"/>
          <w:b/>
          <w:bCs/>
          <w:sz w:val="32"/>
          <w:szCs w:val="32"/>
        </w:rPr>
      </w:pPr>
      <w:r>
        <w:rPr>
          <w:rFonts w:hint="eastAsia" w:ascii="楷体" w:hAnsi="楷体" w:eastAsia="楷体" w:cs="华文仿宋"/>
          <w:bCs/>
          <w:sz w:val="32"/>
          <w:szCs w:val="32"/>
        </w:rPr>
        <w:t>各项政策不够配套</w:t>
      </w:r>
      <w:r>
        <w:rPr>
          <w:rFonts w:hint="eastAsia" w:ascii="仿宋_GB2312" w:hAnsi="华文仿宋" w:eastAsia="仿宋_GB2312" w:cs="华文仿宋"/>
          <w:b/>
          <w:bCs/>
          <w:sz w:val="32"/>
          <w:szCs w:val="32"/>
        </w:rPr>
        <w:t>.</w:t>
      </w:r>
      <w:r>
        <w:rPr>
          <w:rFonts w:hint="eastAsia" w:ascii="仿宋_GB2312" w:hAnsi="华文仿宋" w:eastAsia="仿宋_GB2312" w:cs="华文仿宋"/>
          <w:sz w:val="32"/>
          <w:szCs w:val="32"/>
        </w:rPr>
        <w:t>我旗矿业经济实现高质量发展，面临一系列政策配套问题，亟需深入分析和有效解决。首先，政策的连续性和稳定性是矿业经济发展的基石。然而，当前个别方面的政策变动频繁，导致矿业企业对未来预期的不确定性，影响了投资决策和长远规划。其次，政策支持的精准性有待进一步提升。高质量发展要求政策精准对接矿业经济发展的实际需求，但现行一些政策未能充分考虑不同矿种、不同地区矿业发展的特殊性，导致政策效果不尽如人意。此外，政策配套的协调性不足也是一个亟待解决的问题。矿业经济的发展涉及多个部门和领域，需要政策之间相互协调配合。如果政策之间存在冲突或衔接不畅，将会影响矿业经济的整体发展。</w:t>
      </w:r>
    </w:p>
    <w:p w14:paraId="2347F5DA">
      <w:pPr>
        <w:numPr>
          <w:ilvl w:val="0"/>
          <w:numId w:val="3"/>
        </w:numPr>
        <w:spacing w:line="560" w:lineRule="exact"/>
        <w:ind w:firstLine="640" w:firstLineChars="200"/>
        <w:rPr>
          <w:rFonts w:ascii="仿宋_GB2312" w:hAnsi="华文仿宋" w:eastAsia="仿宋_GB2312" w:cs="华文仿宋"/>
          <w:b/>
          <w:bCs/>
          <w:sz w:val="32"/>
          <w:szCs w:val="32"/>
        </w:rPr>
      </w:pPr>
      <w:r>
        <w:rPr>
          <w:rFonts w:hint="eastAsia" w:ascii="楷体" w:hAnsi="楷体" w:eastAsia="楷体" w:cs="华文仿宋"/>
          <w:bCs/>
          <w:sz w:val="32"/>
          <w:szCs w:val="32"/>
        </w:rPr>
        <w:t>专业人才短缺.</w:t>
      </w:r>
      <w:r>
        <w:rPr>
          <w:rFonts w:hint="eastAsia" w:ascii="仿宋_GB2312" w:hAnsi="华文仿宋" w:eastAsia="仿宋_GB2312" w:cs="华文仿宋"/>
          <w:sz w:val="32"/>
          <w:szCs w:val="32"/>
        </w:rPr>
        <w:t>矿业工作环境的特殊性，尤其我旗矿才的吸引力构成了挑战。矿业行业对专业技能的高要求与教育培养体系的不完全对接，导致了专业人才的供不应求。同时，矿业行业在公众形象上的不足，以及对环境和安全问题的担忧，影响了人才的积极选择。此外，矿业经济的周期性波动，使得人才需求的稳定性受到影响，进而影响人才的职业规划。</w:t>
      </w:r>
    </w:p>
    <w:p w14:paraId="210F7AEB">
      <w:pPr>
        <w:spacing w:line="560" w:lineRule="exact"/>
        <w:ind w:firstLine="640" w:firstLineChars="200"/>
        <w:rPr>
          <w:rFonts w:ascii="华文仿宋" w:hAnsi="华文仿宋" w:eastAsia="华文仿宋" w:cs="华文仿宋"/>
          <w:b/>
          <w:bCs/>
          <w:sz w:val="32"/>
          <w:szCs w:val="32"/>
        </w:rPr>
      </w:pPr>
      <w:r>
        <w:rPr>
          <w:rFonts w:hint="eastAsia" w:ascii="黑体" w:hAnsi="黑体" w:eastAsia="黑体"/>
          <w:sz w:val="32"/>
          <w:szCs w:val="32"/>
        </w:rPr>
        <w:t>三、建议</w:t>
      </w:r>
    </w:p>
    <w:p w14:paraId="1FF7AC65">
      <w:pPr>
        <w:spacing w:line="560" w:lineRule="exact"/>
        <w:ind w:firstLine="640" w:firstLineChars="200"/>
        <w:rPr>
          <w:rFonts w:ascii="仿宋_GB2312" w:hAnsi="华文仿宋" w:eastAsia="仿宋_GB2312" w:cs="华文仿宋"/>
          <w:sz w:val="32"/>
          <w:szCs w:val="32"/>
        </w:rPr>
      </w:pPr>
      <w:r>
        <w:rPr>
          <w:rFonts w:hint="eastAsia" w:ascii="楷体" w:hAnsi="楷体" w:eastAsia="楷体" w:cs="华文仿宋"/>
          <w:sz w:val="32"/>
          <w:szCs w:val="32"/>
        </w:rPr>
        <w:t>（一）统筹规划，加快绿色转型。</w:t>
      </w:r>
      <w:r>
        <w:rPr>
          <w:rFonts w:hint="eastAsia" w:ascii="仿宋_GB2312" w:hAnsi="华文仿宋" w:eastAsia="仿宋_GB2312" w:cs="华文仿宋"/>
          <w:sz w:val="32"/>
          <w:szCs w:val="32"/>
        </w:rPr>
        <w:t>首先，科学调整矿区规划，确保生态优先，实施生态补偿措施，保障森林公园的生态安全；其次，加强森林公园的保护工作，合理划分开发与保护区域，确保资源的可持续利用；再次，推动矿区实施绿色开采技术，最大限度减少对环境的影响。</w:t>
      </w:r>
    </w:p>
    <w:p w14:paraId="64C962B7">
      <w:pPr>
        <w:numPr>
          <w:ilvl w:val="0"/>
          <w:numId w:val="4"/>
        </w:numPr>
        <w:spacing w:line="560" w:lineRule="exact"/>
        <w:ind w:firstLine="640" w:firstLineChars="200"/>
        <w:rPr>
          <w:rFonts w:ascii="仿宋_GB2312" w:hAnsi="华文仿宋" w:eastAsia="仿宋_GB2312" w:cs="华文仿宋"/>
          <w:sz w:val="32"/>
          <w:szCs w:val="32"/>
        </w:rPr>
      </w:pPr>
      <w:r>
        <w:rPr>
          <w:rFonts w:hint="eastAsia" w:ascii="楷体" w:hAnsi="楷体" w:eastAsia="楷体" w:cs="华文仿宋"/>
          <w:sz w:val="32"/>
          <w:szCs w:val="32"/>
        </w:rPr>
        <w:t>优化资源配置，</w:t>
      </w:r>
      <w:r>
        <w:rPr>
          <w:rFonts w:hint="eastAsia" w:ascii="MS Gothic" w:hAnsi="MS Gothic" w:eastAsia="MS Gothic" w:cs="MS Gothic"/>
          <w:sz w:val="32"/>
          <w:szCs w:val="32"/>
        </w:rPr>
        <w:t>‌</w:t>
      </w:r>
      <w:r>
        <w:rPr>
          <w:rFonts w:hint="eastAsia" w:ascii="楷体" w:hAnsi="楷体" w:eastAsia="楷体" w:cs="仿宋_GB2312"/>
          <w:sz w:val="32"/>
          <w:szCs w:val="32"/>
        </w:rPr>
        <w:t>科学有序投放矿业权</w:t>
      </w:r>
      <w:r>
        <w:rPr>
          <w:rFonts w:hint="eastAsia" w:ascii="楷体" w:hAnsi="楷体" w:eastAsia="楷体" w:cs="华文仿宋"/>
          <w:sz w:val="32"/>
          <w:szCs w:val="32"/>
        </w:rPr>
        <w:t>，加大矿业权整合力度。</w:t>
      </w:r>
      <w:r>
        <w:rPr>
          <w:rFonts w:hint="eastAsia" w:ascii="仿宋_GB2312" w:hAnsi="华文仿宋" w:eastAsia="仿宋_GB2312" w:cs="华文仿宋"/>
          <w:sz w:val="32"/>
          <w:szCs w:val="32"/>
        </w:rPr>
        <w:t>强化矿产资源规划实施管理，突出矿产资源规划宏观调控能力，</w:t>
      </w:r>
      <w:r>
        <w:rPr>
          <w:rFonts w:hint="eastAsia" w:ascii="MS Gothic" w:hAnsi="MS Gothic" w:eastAsia="MS Gothic" w:cs="MS Gothic"/>
          <w:sz w:val="32"/>
          <w:szCs w:val="32"/>
        </w:rPr>
        <w:t>‌</w:t>
      </w:r>
      <w:r>
        <w:rPr>
          <w:rFonts w:hint="eastAsia" w:ascii="仿宋_GB2312" w:hAnsi="仿宋_GB2312" w:eastAsia="仿宋_GB2312" w:cs="仿宋_GB2312"/>
          <w:sz w:val="32"/>
          <w:szCs w:val="32"/>
        </w:rPr>
        <w:t>根据经济社会发展需求推进战略性矿产和优势矿产探矿权出让，</w:t>
      </w:r>
      <w:r>
        <w:rPr>
          <w:rFonts w:hint="eastAsia" w:ascii="MS Gothic" w:hAnsi="MS Gothic" w:eastAsia="MS Gothic" w:cs="MS Gothic"/>
          <w:sz w:val="32"/>
          <w:szCs w:val="32"/>
        </w:rPr>
        <w:t>‌</w:t>
      </w:r>
      <w:r>
        <w:rPr>
          <w:rFonts w:hint="eastAsia" w:ascii="仿宋_GB2312" w:hAnsi="仿宋_GB2312" w:eastAsia="仿宋_GB2312" w:cs="仿宋_GB2312"/>
          <w:sz w:val="32"/>
          <w:szCs w:val="32"/>
        </w:rPr>
        <w:t>提高矿产资源保障水平，</w:t>
      </w:r>
      <w:r>
        <w:rPr>
          <w:rFonts w:hint="eastAsia" w:ascii="MS Gothic" w:hAnsi="MS Gothic" w:eastAsia="MS Gothic" w:cs="MS Gothic"/>
          <w:sz w:val="32"/>
          <w:szCs w:val="32"/>
        </w:rPr>
        <w:t>‌</w:t>
      </w:r>
      <w:r>
        <w:rPr>
          <w:rFonts w:hint="eastAsia" w:ascii="仿宋_GB2312" w:hAnsi="仿宋_GB2312" w:eastAsia="仿宋_GB2312" w:cs="仿宋_GB2312"/>
          <w:sz w:val="32"/>
          <w:szCs w:val="32"/>
        </w:rPr>
        <w:t>同时严格控制矿业权协议出让，</w:t>
      </w:r>
      <w:r>
        <w:rPr>
          <w:rFonts w:hint="eastAsia" w:ascii="MS Gothic" w:hAnsi="MS Gothic" w:eastAsia="MS Gothic" w:cs="MS Gothic"/>
          <w:sz w:val="32"/>
          <w:szCs w:val="32"/>
        </w:rPr>
        <w:t>‌</w:t>
      </w:r>
      <w:r>
        <w:rPr>
          <w:rFonts w:hint="eastAsia" w:ascii="仿宋_GB2312" w:hAnsi="仿宋_GB2312" w:eastAsia="仿宋_GB2312" w:cs="仿宋_GB2312"/>
          <w:sz w:val="32"/>
          <w:szCs w:val="32"/>
        </w:rPr>
        <w:t>明确具体可按照规定以协议方式出让的情形和相关程序要求</w:t>
      </w:r>
      <w:r>
        <w:rPr>
          <w:rFonts w:hint="eastAsia" w:ascii="仿宋_GB2312" w:hAnsi="华文仿宋" w:eastAsia="仿宋_GB2312" w:cs="华文仿宋"/>
          <w:sz w:val="32"/>
          <w:szCs w:val="32"/>
        </w:rPr>
        <w:t>，合理投放本地区优势矿种的矿业权；积极推进矿业权整合政策，促进资源集约化经营；加强矿业权交易平台建设，提升交易效率与透明度；完善矿业权退出机制，鼓励资源整合与优化配置；强化政府监管职能，规范矿业权市场秩序；引导企业通过合作、并购等途径实现资源整合；推业体量偏低，对人行矿产资源勘查开发一体化，提升资源利用效率；推动矿业权信息化管理，增强信息透明度与共享性。</w:t>
      </w:r>
    </w:p>
    <w:p w14:paraId="5B9FDA08">
      <w:pPr>
        <w:numPr>
          <w:ilvl w:val="0"/>
          <w:numId w:val="4"/>
        </w:numPr>
        <w:spacing w:line="560" w:lineRule="exact"/>
        <w:ind w:firstLine="640" w:firstLineChars="200"/>
        <w:rPr>
          <w:rFonts w:ascii="仿宋_GB2312" w:hAnsi="华文仿宋" w:eastAsia="仿宋_GB2312" w:cs="华文仿宋"/>
          <w:sz w:val="32"/>
          <w:szCs w:val="32"/>
        </w:rPr>
      </w:pPr>
      <w:r>
        <w:rPr>
          <w:rFonts w:hint="eastAsia" w:ascii="楷体" w:hAnsi="楷体" w:eastAsia="楷体" w:cs="华文仿宋"/>
          <w:sz w:val="32"/>
          <w:szCs w:val="32"/>
        </w:rPr>
        <w:t>提高资源利用率，延展产业链。</w:t>
      </w:r>
      <w:r>
        <w:rPr>
          <w:rFonts w:hint="eastAsia" w:ascii="仿宋_GB2312" w:hAnsi="华文仿宋" w:eastAsia="仿宋_GB2312" w:cs="华文仿宋"/>
          <w:b/>
          <w:bCs/>
          <w:sz w:val="32"/>
          <w:szCs w:val="32"/>
        </w:rPr>
        <w:t>一是</w:t>
      </w:r>
      <w:r>
        <w:rPr>
          <w:rFonts w:hint="eastAsia" w:ascii="仿宋_GB2312" w:hAnsi="华文仿宋" w:eastAsia="仿宋_GB2312" w:cs="华文仿宋"/>
          <w:sz w:val="32"/>
          <w:szCs w:val="32"/>
        </w:rPr>
        <w:t>积极引进和消化吸收国内外先进技术，不断增强产业的核心竞争力。</w:t>
      </w:r>
      <w:r>
        <w:rPr>
          <w:rFonts w:hint="eastAsia" w:ascii="仿宋_GB2312" w:hAnsi="华文仿宋" w:eastAsia="仿宋_GB2312" w:cs="华文仿宋"/>
          <w:b/>
          <w:bCs/>
          <w:sz w:val="32"/>
          <w:szCs w:val="32"/>
        </w:rPr>
        <w:t>二是</w:t>
      </w:r>
      <w:r>
        <w:rPr>
          <w:rFonts w:hint="eastAsia" w:ascii="仿宋_GB2312" w:hAnsi="华文仿宋" w:eastAsia="仿宋_GB2312" w:cs="华文仿宋"/>
          <w:sz w:val="32"/>
          <w:szCs w:val="32"/>
        </w:rPr>
        <w:t>坚决淘汰落后产能，大力发展高附加值产业，促进产业结构向高端化、智能化、绿色化发展。</w:t>
      </w:r>
      <w:r>
        <w:rPr>
          <w:rFonts w:hint="eastAsia" w:ascii="仿宋_GB2312" w:hAnsi="华文仿宋" w:eastAsia="仿宋_GB2312" w:cs="华文仿宋"/>
          <w:b/>
          <w:bCs/>
          <w:sz w:val="32"/>
          <w:szCs w:val="32"/>
        </w:rPr>
        <w:t>三是</w:t>
      </w:r>
      <w:r>
        <w:rPr>
          <w:rFonts w:hint="eastAsia" w:ascii="仿宋_GB2312" w:hAnsi="华文仿宋" w:eastAsia="仿宋_GB2312" w:cs="华文仿宋"/>
          <w:sz w:val="32"/>
          <w:szCs w:val="32"/>
        </w:rPr>
        <w:t>鼓励企业间加强合作，实现资源共享，降低生产成本，提高整体效益。</w:t>
      </w:r>
      <w:r>
        <w:rPr>
          <w:rFonts w:hint="eastAsia" w:ascii="仿宋_GB2312" w:hAnsi="华文仿宋" w:eastAsia="仿宋_GB2312" w:cs="华文仿宋"/>
          <w:b/>
          <w:bCs/>
          <w:sz w:val="32"/>
          <w:szCs w:val="32"/>
        </w:rPr>
        <w:t>四是</w:t>
      </w:r>
      <w:r>
        <w:rPr>
          <w:rFonts w:hint="eastAsia" w:ascii="MS Gothic" w:hAnsi="MS Gothic" w:eastAsia="MS Gothic" w:cs="MS Gothic"/>
          <w:sz w:val="32"/>
          <w:szCs w:val="32"/>
        </w:rPr>
        <w:t>‌</w:t>
      </w:r>
      <w:r>
        <w:rPr>
          <w:rFonts w:hint="eastAsia" w:ascii="仿宋_GB2312" w:hAnsi="仿宋_GB2312" w:eastAsia="仿宋_GB2312" w:cs="仿宋_GB2312"/>
          <w:sz w:val="32"/>
          <w:szCs w:val="32"/>
        </w:rPr>
        <w:t>通过推进产业链条延长，</w:t>
      </w:r>
      <w:r>
        <w:rPr>
          <w:rFonts w:hint="eastAsia" w:ascii="MS Gothic" w:hAnsi="MS Gothic" w:eastAsia="MS Gothic" w:cs="MS Gothic"/>
          <w:sz w:val="32"/>
          <w:szCs w:val="32"/>
        </w:rPr>
        <w:t>‌</w:t>
      </w:r>
      <w:r>
        <w:rPr>
          <w:rFonts w:hint="eastAsia" w:ascii="仿宋_GB2312" w:hAnsi="仿宋_GB2312" w:eastAsia="仿宋_GB2312" w:cs="仿宋_GB2312"/>
          <w:sz w:val="32"/>
          <w:szCs w:val="32"/>
        </w:rPr>
        <w:t>大力延长</w:t>
      </w:r>
      <w:r>
        <w:rPr>
          <w:rFonts w:hint="eastAsia" w:ascii="仿宋_GB2312" w:hAnsi="华文仿宋" w:eastAsia="仿宋_GB2312" w:cs="华文仿宋"/>
          <w:sz w:val="32"/>
          <w:szCs w:val="32"/>
        </w:rPr>
        <w:t>金、石灰石、萤石等行业产业链，</w:t>
      </w:r>
      <w:r>
        <w:rPr>
          <w:rFonts w:hint="eastAsia" w:ascii="MS Gothic" w:hAnsi="MS Gothic" w:eastAsia="MS Gothic" w:cs="MS Gothic"/>
          <w:sz w:val="32"/>
          <w:szCs w:val="32"/>
        </w:rPr>
        <w:t>‌</w:t>
      </w:r>
      <w:r>
        <w:rPr>
          <w:rFonts w:hint="eastAsia" w:ascii="仿宋_GB2312" w:hAnsi="仿宋_GB2312" w:eastAsia="仿宋_GB2312" w:cs="仿宋_GB2312"/>
          <w:sz w:val="32"/>
          <w:szCs w:val="32"/>
        </w:rPr>
        <w:t>推动矿产品精深加工，</w:t>
      </w:r>
      <w:r>
        <w:rPr>
          <w:rFonts w:hint="eastAsia" w:ascii="MS Gothic" w:hAnsi="MS Gothic" w:eastAsia="MS Gothic" w:cs="MS Gothic"/>
          <w:sz w:val="32"/>
          <w:szCs w:val="32"/>
        </w:rPr>
        <w:t>‌</w:t>
      </w:r>
      <w:r>
        <w:rPr>
          <w:rFonts w:hint="eastAsia" w:ascii="仿宋_GB2312" w:hAnsi="仿宋_GB2312" w:eastAsia="仿宋_GB2312" w:cs="仿宋_GB2312"/>
          <w:sz w:val="32"/>
          <w:szCs w:val="32"/>
        </w:rPr>
        <w:t>促进金属矿产品加工向中高端产品、</w:t>
      </w:r>
      <w:r>
        <w:rPr>
          <w:rFonts w:hint="eastAsia" w:ascii="MS Gothic" w:hAnsi="MS Gothic" w:eastAsia="MS Gothic" w:cs="MS Gothic"/>
          <w:sz w:val="32"/>
          <w:szCs w:val="32"/>
        </w:rPr>
        <w:t>‌</w:t>
      </w:r>
      <w:r>
        <w:rPr>
          <w:rFonts w:hint="eastAsia" w:ascii="仿宋_GB2312" w:hAnsi="仿宋_GB2312" w:eastAsia="仿宋_GB2312" w:cs="仿宋_GB2312"/>
          <w:sz w:val="32"/>
          <w:szCs w:val="32"/>
        </w:rPr>
        <w:t>低能耗、</w:t>
      </w:r>
      <w:r>
        <w:rPr>
          <w:rFonts w:hint="eastAsia" w:ascii="MS Gothic" w:hAnsi="MS Gothic" w:eastAsia="MS Gothic" w:cs="MS Gothic"/>
          <w:sz w:val="32"/>
          <w:szCs w:val="32"/>
        </w:rPr>
        <w:t>‌</w:t>
      </w:r>
      <w:r>
        <w:rPr>
          <w:rFonts w:hint="eastAsia" w:ascii="仿宋_GB2312" w:hAnsi="仿宋_GB2312" w:eastAsia="仿宋_GB2312" w:cs="仿宋_GB2312"/>
          <w:sz w:val="32"/>
          <w:szCs w:val="32"/>
        </w:rPr>
        <w:t>高附加值方向发展</w:t>
      </w:r>
      <w:r>
        <w:rPr>
          <w:rFonts w:hint="eastAsia" w:ascii="仿宋_GB2312" w:hAnsi="华文仿宋" w:eastAsia="仿宋_GB2312" w:cs="华文仿宋"/>
          <w:sz w:val="32"/>
          <w:szCs w:val="32"/>
        </w:rPr>
        <w:t>。分析研判现有企业在吸引上下游配套、带动产业成链发展等方面的潜能潜力情况，梳理一批有产业带动能力和寻商招商潜力的重点企业，不断完善产业链、供应链，推动主导产业集群成链发展。</w:t>
      </w:r>
      <w:r>
        <w:rPr>
          <w:rFonts w:hint="eastAsia" w:ascii="仿宋_GB2312" w:hAnsi="华文仿宋" w:eastAsia="仿宋_GB2312" w:cs="华文仿宋"/>
          <w:b/>
          <w:bCs/>
          <w:sz w:val="32"/>
          <w:szCs w:val="32"/>
        </w:rPr>
        <w:t>五是</w:t>
      </w:r>
      <w:r>
        <w:rPr>
          <w:rFonts w:hint="eastAsia" w:ascii="仿宋_GB2312" w:hAnsi="华文仿宋" w:eastAsia="仿宋_GB2312" w:cs="华文仿宋"/>
          <w:sz w:val="32"/>
          <w:szCs w:val="32"/>
        </w:rPr>
        <w:t>牢固树立绿色发展理念，提高资源利用效率，减少资源浪费和环境污染，实现可持续发展。</w:t>
      </w:r>
    </w:p>
    <w:p w14:paraId="208F0472">
      <w:pPr>
        <w:numPr>
          <w:ilvl w:val="0"/>
          <w:numId w:val="4"/>
        </w:numPr>
        <w:spacing w:line="560" w:lineRule="exact"/>
        <w:ind w:firstLine="640" w:firstLineChars="200"/>
        <w:rPr>
          <w:rFonts w:ascii="仿宋_GB2312" w:hAnsi="华文仿宋" w:eastAsia="仿宋_GB2312" w:cs="华文仿宋"/>
          <w:sz w:val="32"/>
          <w:szCs w:val="32"/>
        </w:rPr>
      </w:pPr>
      <w:r>
        <w:rPr>
          <w:rFonts w:hint="eastAsia" w:ascii="楷体" w:hAnsi="楷体" w:eastAsia="楷体" w:cs="华文仿宋"/>
          <w:sz w:val="32"/>
          <w:szCs w:val="32"/>
        </w:rPr>
        <w:t>加强扶持，完善招商引资优惠政策。</w:t>
      </w:r>
      <w:r>
        <w:rPr>
          <w:rFonts w:hint="eastAsia" w:ascii="仿宋_GB2312" w:hAnsi="华文仿宋" w:eastAsia="仿宋_GB2312" w:cs="华文仿宋"/>
          <w:b/>
          <w:bCs/>
          <w:sz w:val="32"/>
          <w:szCs w:val="32"/>
        </w:rPr>
        <w:t>一是</w:t>
      </w:r>
      <w:r>
        <w:rPr>
          <w:rFonts w:hint="eastAsia" w:ascii="仿宋_GB2312" w:hAnsi="华文仿宋" w:eastAsia="仿宋_GB2312" w:cs="华文仿宋"/>
          <w:sz w:val="32"/>
          <w:szCs w:val="32"/>
        </w:rPr>
        <w:t>要加强政策的推陈出新，根据形势发展需要及时作出相应调整，制定符合本地区实际情况的矿业经济招商引资优惠政策。</w:t>
      </w:r>
      <w:r>
        <w:rPr>
          <w:rFonts w:hint="eastAsia" w:ascii="仿宋_GB2312" w:hAnsi="华文仿宋" w:eastAsia="仿宋_GB2312" w:cs="华文仿宋"/>
          <w:b/>
          <w:bCs/>
          <w:sz w:val="32"/>
          <w:szCs w:val="32"/>
        </w:rPr>
        <w:t>二是</w:t>
      </w:r>
      <w:r>
        <w:rPr>
          <w:rFonts w:hint="eastAsia" w:ascii="仿宋_GB2312" w:hAnsi="华文仿宋" w:eastAsia="仿宋_GB2312" w:cs="华文仿宋"/>
          <w:sz w:val="32"/>
          <w:szCs w:val="32"/>
        </w:rPr>
        <w:t>要确保政策精准实施，积极促成科技、人才、产业、金融等政策同相关企业有效衔接，增强政策集成和实效，确保政策落地。</w:t>
      </w:r>
      <w:r>
        <w:rPr>
          <w:rFonts w:hint="eastAsia" w:ascii="仿宋_GB2312" w:hAnsi="华文仿宋" w:eastAsia="仿宋_GB2312" w:cs="华文仿宋"/>
          <w:b/>
          <w:bCs/>
          <w:sz w:val="32"/>
          <w:szCs w:val="32"/>
        </w:rPr>
        <w:t>三是</w:t>
      </w:r>
      <w:r>
        <w:rPr>
          <w:rFonts w:hint="eastAsia" w:ascii="仿宋_GB2312" w:hAnsi="华文仿宋" w:eastAsia="仿宋_GB2312" w:cs="华文仿宋"/>
          <w:sz w:val="32"/>
          <w:szCs w:val="32"/>
        </w:rPr>
        <w:t>要加强对税收、土地、市场准入、价格收费等方面的优惠政策及时履约，促进优化营商环境，增强企业投资信心，推动矿业经济高质量发展壮大。</w:t>
      </w:r>
    </w:p>
    <w:p w14:paraId="6364849E">
      <w:pPr>
        <w:numPr>
          <w:ilvl w:val="0"/>
          <w:numId w:val="4"/>
        </w:numPr>
        <w:spacing w:line="560" w:lineRule="exact"/>
        <w:ind w:firstLine="640" w:firstLineChars="200"/>
        <w:rPr>
          <w:rFonts w:ascii="仿宋_GB2312" w:hAnsi="华文仿宋" w:eastAsia="仿宋_GB2312" w:cs="华文仿宋"/>
          <w:sz w:val="32"/>
          <w:szCs w:val="32"/>
        </w:rPr>
      </w:pPr>
      <w:r>
        <w:rPr>
          <w:rFonts w:hint="eastAsia" w:ascii="楷体" w:hAnsi="楷体" w:eastAsia="楷体" w:cs="华文仿宋"/>
          <w:sz w:val="32"/>
          <w:szCs w:val="32"/>
        </w:rPr>
        <w:t>人才为本，加强专业技术工人培养。</w:t>
      </w:r>
      <w:r>
        <w:rPr>
          <w:rFonts w:hint="eastAsia" w:ascii="仿宋_GB2312" w:hAnsi="华文仿宋" w:eastAsia="仿宋_GB2312" w:cs="华文仿宋"/>
          <w:sz w:val="32"/>
          <w:szCs w:val="32"/>
        </w:rPr>
        <w:t>加大人才引进和培养力度，提升员工技能水平，为产业发展提供人才保障。探索与各技术学校合作，建设产教融合实训基地的机制和模式，加强对产业工人的培养，推进产业工人队伍的优化升级，从而解决人才培养供给与企业用工需求不匹配的问题，形成院校与企业“双向奔赴”的良性局面，构建产业赋能职业教育、职业教育培养人才、人才支撑产业发展的可持续循环生态系统。</w:t>
      </w:r>
    </w:p>
    <w:p w14:paraId="3338E36F">
      <w:pPr>
        <w:spacing w:line="560" w:lineRule="exact"/>
        <w:ind w:firstLine="640" w:firstLineChars="200"/>
        <w:rPr>
          <w:rFonts w:ascii="仿宋_GB2312" w:hAnsi="华文仿宋" w:eastAsia="仿宋_GB2312" w:cs="华文仿宋"/>
          <w:kern w:val="0"/>
          <w:sz w:val="32"/>
          <w:szCs w:val="32"/>
        </w:rPr>
      </w:pPr>
    </w:p>
    <w:p w14:paraId="707968E6">
      <w:pPr>
        <w:pStyle w:val="6"/>
        <w:rPr>
          <w:rFonts w:ascii="仿宋_GB2312" w:eastAsia="仿宋_GB2312"/>
          <w:sz w:val="32"/>
          <w:szCs w:val="32"/>
        </w:rPr>
      </w:pPr>
      <w:r>
        <w:rPr>
          <w:rFonts w:hint="eastAsia" w:ascii="仿宋_GB2312" w:hAnsi="华文仿宋" w:eastAsia="仿宋_GB2312" w:cs="华文仿宋"/>
          <w:sz w:val="32"/>
          <w:szCs w:val="32"/>
        </w:rPr>
        <w:t xml:space="preserve">    </w:t>
      </w:r>
    </w:p>
    <w:p w14:paraId="6BE91E3D">
      <w:pPr>
        <w:pStyle w:val="6"/>
        <w:rPr>
          <w:rFonts w:ascii="仿宋_GB2312" w:eastAsia="仿宋_GB2312"/>
        </w:rPr>
      </w:pPr>
      <w:r>
        <w:rPr>
          <w:rFonts w:hint="eastAsia" w:ascii="仿宋_GB2312" w:eastAsia="仿宋_GB2312"/>
        </w:rPr>
        <w:t xml:space="preserve">       </w:t>
      </w:r>
    </w:p>
    <w:p w14:paraId="35EC7E01">
      <w:pPr>
        <w:rPr>
          <w:rFonts w:ascii="仿宋_GB2312" w:hAnsi="Times New Roman" w:eastAsia="仿宋_GB2312" w:cs="Times New Roman"/>
          <w:sz w:val="32"/>
          <w:szCs w:val="32"/>
        </w:rPr>
      </w:pPr>
    </w:p>
    <w:p w14:paraId="668DCC2C">
      <w:pPr>
        <w:pStyle w:val="6"/>
        <w:ind w:firstLine="420"/>
        <w:rPr>
          <w:rFonts w:ascii="仿宋_GB2312" w:eastAsia="仿宋_GB2312"/>
        </w:rPr>
      </w:pPr>
    </w:p>
    <w:p w14:paraId="5A0F6357">
      <w:pPr>
        <w:widowControl/>
        <w:spacing w:line="560" w:lineRule="exact"/>
        <w:jc w:val="left"/>
        <w:rPr>
          <w:rFonts w:ascii="楷体_GB2312" w:hAnsi="方正楷体_GBK" w:eastAsia="楷体_GB2312" w:cs="方正楷体_GBK"/>
          <w:color w:val="000000"/>
          <w:spacing w:val="5"/>
          <w:kern w:val="0"/>
          <w:sz w:val="32"/>
          <w:szCs w:val="32"/>
        </w:rPr>
      </w:pPr>
    </w:p>
    <w:p w14:paraId="3A6B2852">
      <w:pPr>
        <w:widowControl/>
        <w:spacing w:line="560" w:lineRule="exact"/>
        <w:jc w:val="left"/>
        <w:rPr>
          <w:rFonts w:ascii="楷体_GB2312" w:hAnsi="方正楷体_GBK" w:eastAsia="楷体_GB2312" w:cs="方正楷体_GBK"/>
          <w:color w:val="000000"/>
          <w:spacing w:val="5"/>
          <w:kern w:val="0"/>
          <w:sz w:val="32"/>
          <w:szCs w:val="32"/>
        </w:rPr>
      </w:pPr>
      <w:r>
        <w:rPr>
          <w:rFonts w:hint="eastAsia" w:ascii="楷体_GB2312" w:hAnsi="方正楷体_GBK" w:eastAsia="楷体_GB2312" w:cs="方正楷体_GBK"/>
          <w:color w:val="000000"/>
          <w:spacing w:val="5"/>
          <w:kern w:val="0"/>
          <w:sz w:val="32"/>
          <w:szCs w:val="32"/>
        </w:rPr>
        <w:t>提案编号：011</w:t>
      </w:r>
    </w:p>
    <w:p w14:paraId="223CE15B">
      <w:pPr>
        <w:spacing w:line="560" w:lineRule="exact"/>
        <w:ind w:left="1650" w:hanging="1650" w:hangingChars="500"/>
        <w:rPr>
          <w:rFonts w:ascii="楷体_GB2312" w:hAnsi="方正小标宋简体" w:eastAsia="楷体_GB2312" w:cs="方正小标宋简体"/>
          <w:sz w:val="32"/>
          <w:szCs w:val="32"/>
        </w:rPr>
      </w:pPr>
      <w:r>
        <w:rPr>
          <w:rFonts w:hint="eastAsia" w:ascii="楷体_GB2312" w:hAnsi="方正楷体_GBK" w:eastAsia="楷体_GB2312" w:cs="方正楷体_GBK"/>
          <w:color w:val="000000"/>
          <w:spacing w:val="5"/>
          <w:sz w:val="32"/>
          <w:szCs w:val="32"/>
        </w:rPr>
        <w:t>提案名称：</w:t>
      </w:r>
      <w:r>
        <w:rPr>
          <w:rFonts w:hint="eastAsia" w:ascii="楷体_GB2312" w:hAnsi="方正小标宋简体" w:eastAsia="楷体_GB2312" w:cs="方正小标宋简体"/>
          <w:sz w:val="32"/>
          <w:szCs w:val="32"/>
        </w:rPr>
        <w:t>关于大力发展农村电商  助力乡村产业发展的提案</w:t>
      </w:r>
    </w:p>
    <w:p w14:paraId="03F58EDE">
      <w:pPr>
        <w:spacing w:line="560" w:lineRule="exact"/>
        <w:rPr>
          <w:rFonts w:ascii="楷体_GB2312" w:hAnsi="方正小标宋简体" w:eastAsia="楷体_GB2312" w:cs="方正小标宋简体"/>
          <w:sz w:val="32"/>
          <w:szCs w:val="32"/>
        </w:rPr>
      </w:pPr>
      <w:r>
        <w:rPr>
          <w:rFonts w:hint="eastAsia" w:ascii="楷体_GB2312" w:hAnsi="方正楷体_GBK" w:eastAsia="楷体_GB2312" w:cs="方正楷体_GBK"/>
          <w:color w:val="000000"/>
          <w:spacing w:val="5"/>
          <w:kern w:val="0"/>
          <w:sz w:val="32"/>
          <w:szCs w:val="32"/>
        </w:rPr>
        <w:t>提 案 人：王龙</w:t>
      </w:r>
    </w:p>
    <w:p w14:paraId="16FDA34D">
      <w:pPr>
        <w:spacing w:line="560" w:lineRule="exact"/>
        <w:rPr>
          <w:rFonts w:ascii="楷体_GB2312" w:hAnsi="华文仿宋" w:eastAsia="楷体_GB2312" w:cs="华文仿宋"/>
          <w:kern w:val="0"/>
          <w:sz w:val="32"/>
          <w:szCs w:val="32"/>
        </w:rPr>
      </w:pPr>
      <w:r>
        <w:rPr>
          <w:rFonts w:hint="eastAsia" w:ascii="楷体_GB2312" w:hAnsi="方正楷体_GBK" w:eastAsia="楷体_GB2312" w:cs="方正楷体_GBK"/>
          <w:color w:val="000000"/>
          <w:spacing w:val="5"/>
          <w:sz w:val="32"/>
          <w:szCs w:val="32"/>
        </w:rPr>
        <w:t>联系方式：15148302150</w:t>
      </w:r>
    </w:p>
    <w:p w14:paraId="6A34D91F">
      <w:pPr>
        <w:spacing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界    别：经济企业</w:t>
      </w:r>
    </w:p>
    <w:p w14:paraId="2C3CDED0">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关于大力发展农村电商  助力乡村产业发展的提案</w:t>
      </w:r>
    </w:p>
    <w:p w14:paraId="0C2341EA">
      <w:pPr>
        <w:spacing w:line="560" w:lineRule="exact"/>
        <w:rPr>
          <w:rFonts w:ascii="仿宋_GB2312" w:hAnsi="仿宋_GB2312" w:eastAsia="仿宋_GB2312" w:cs="仿宋_GB2312"/>
          <w:sz w:val="32"/>
          <w:szCs w:val="32"/>
        </w:rPr>
      </w:pPr>
    </w:p>
    <w:p w14:paraId="5124B082">
      <w:pPr>
        <w:spacing w:line="560" w:lineRule="exact"/>
        <w:ind w:firstLine="640" w:firstLineChars="200"/>
        <w:rPr>
          <w:rFonts w:ascii="仿宋_GB2312" w:eastAsia="仿宋_GB2312"/>
          <w:sz w:val="32"/>
          <w:szCs w:val="32"/>
        </w:rPr>
      </w:pPr>
      <w:r>
        <w:rPr>
          <w:rFonts w:hint="eastAsia" w:ascii="仿宋_GB2312" w:eastAsia="仿宋_GB2312"/>
          <w:sz w:val="32"/>
          <w:szCs w:val="32"/>
        </w:rPr>
        <w:t>近年来，全国农村电商发展势头汹涌，各地特色农产品借助电商渠道加快布局全国市场，助力乡村产业实现快速发展。我旗也乘着农村电商发展的东风，实施了一批助推电商事业发展的政策和项目，形成了我旗农村电商发展的基本格局和发展路径。2017年8月我旗被确定为第四批“国家电子商务进农村综合示范县”，成立了1个电子商务公共服务中心，1个物流分拣中心，建设118家村级电商服务站，组织开展电商知识培训55期，培训7500余人次，开展线上销售活动，销售额达1000余万元。2023年6月喀喇沁旗电商协会成立，目前已有会员单位137家，累计开展直播培训40余批次，培训1500人次以上，培育出农村电商直播人才200余人。2023年我旗被确定为自治区县域商业体系建设试点旗县，申请国家补贴资金1174万元实施了4个县域商业体系建设项目，总投资1.1亿元，以增强农畜产品上行动能，完善县乡村三级物流配送体系，改善优化县域消费渠道，项目于2024年底全部建成投用。</w:t>
      </w:r>
    </w:p>
    <w:p w14:paraId="5D843008">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在我旗农村电商产业快速崛起的同时，我们还清楚地认识到其中存在的不足和短板，比如电商基础设施薄弱、专业人才短缺、农产品供需两端不匹配、绿色优质的“土特产”数字化转型缓慢等问题，制约了我旗农村电商的进一步发展。如何进一步打牢基础、突破瓶颈成为需要迫切解决的现实问题。</w:t>
      </w:r>
    </w:p>
    <w:p w14:paraId="43439FDB">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一、阻碍我旗农村电子商务发展的难题</w:t>
      </w:r>
    </w:p>
    <w:p w14:paraId="19E588B0">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sz w:val="32"/>
          <w:szCs w:val="32"/>
        </w:rPr>
        <w:t>（一）基础设施薄弱，物流体系不健全。</w:t>
      </w:r>
      <w:r>
        <w:rPr>
          <w:rFonts w:hint="eastAsia" w:ascii="仿宋_GB2312" w:hAnsi="仿宋_GB2312" w:eastAsia="仿宋_GB2312" w:cs="仿宋_GB2312"/>
          <w:color w:val="000000" w:themeColor="text1"/>
          <w:sz w:val="32"/>
          <w:szCs w:val="32"/>
          <w14:textFill>
            <w14:solidFill>
              <w14:schemeClr w14:val="tx1"/>
            </w14:solidFill>
          </w14:textFill>
        </w:rPr>
        <w:t>目前，我旗</w:t>
      </w:r>
      <w:r>
        <w:rPr>
          <w:rFonts w:hint="eastAsia" w:ascii="仿宋_GB2312" w:hAnsi="仿宋_GB2312" w:eastAsia="仿宋_GB2312" w:cs="仿宋_GB2312"/>
          <w:sz w:val="32"/>
          <w:szCs w:val="32"/>
        </w:rPr>
        <w:t>农村电商网络基础设施总体发展还不够完善、布局还不够均衡。虽然网络基本能够实现村村通，但偏远山区网络信号差、速度慢问题依然存在。同时，因居住分散，农畜产品上行困难，寄递业务城乡差距较大，一般物流公司仅实现市旗两级配送，</w:t>
      </w:r>
      <w:r>
        <w:rPr>
          <w:rFonts w:hint="eastAsia" w:ascii="仿宋_GB2312" w:hAnsi="仿宋_GB2312" w:eastAsia="仿宋_GB2312" w:cs="仿宋_GB2312"/>
          <w:color w:val="000000" w:themeColor="text1"/>
          <w:sz w:val="32"/>
          <w:szCs w:val="32"/>
          <w14:textFill>
            <w14:solidFill>
              <w14:schemeClr w14:val="tx1"/>
            </w14:solidFill>
          </w14:textFill>
        </w:rPr>
        <w:t>无法满足物流需求。</w:t>
      </w:r>
    </w:p>
    <w:p w14:paraId="1C79FBE2">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（二）专业人才缺乏，培养机制不完善。</w:t>
      </w:r>
      <w:r>
        <w:rPr>
          <w:rFonts w:hint="eastAsia" w:ascii="仿宋_GB2312" w:hAnsi="仿宋_GB2312" w:eastAsia="仿宋_GB2312" w:cs="仿宋_GB2312"/>
          <w:sz w:val="32"/>
          <w:szCs w:val="32"/>
        </w:rPr>
        <w:t>电商扶农带农工作，业务</w:t>
      </w:r>
      <w:r>
        <w:rPr>
          <w:rFonts w:ascii="仿宋_GB2312" w:hAnsi="仿宋_GB2312" w:eastAsia="仿宋_GB2312" w:cs="仿宋_GB2312"/>
          <w:sz w:val="32"/>
          <w:szCs w:val="32"/>
        </w:rPr>
        <w:t>涉及管理运营、实践操作、资源整合等</w:t>
      </w:r>
      <w:r>
        <w:rPr>
          <w:rFonts w:hint="eastAsia" w:ascii="仿宋_GB2312" w:hAnsi="仿宋_GB2312" w:eastAsia="仿宋_GB2312" w:cs="仿宋_GB2312"/>
          <w:sz w:val="32"/>
          <w:szCs w:val="32"/>
        </w:rPr>
        <w:t>多方面</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对“农牧业+技术+电子商务”复合型人才需求较大，从实际情况看，我旗本土</w:t>
      </w:r>
      <w:r>
        <w:rPr>
          <w:rFonts w:ascii="仿宋_GB2312" w:hAnsi="仿宋_GB2312" w:eastAsia="仿宋_GB2312" w:cs="仿宋_GB2312"/>
          <w:sz w:val="32"/>
          <w:szCs w:val="32"/>
        </w:rPr>
        <w:t>从事电商人员</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学历普遍较低，知识面窄，缺少带头人，缺乏组织性</w:t>
      </w:r>
      <w:r>
        <w:rPr>
          <w:rFonts w:hint="eastAsia" w:ascii="仿宋_GB2312" w:hAnsi="仿宋_GB2312" w:eastAsia="仿宋_GB2312" w:cs="仿宋_GB2312"/>
          <w:sz w:val="32"/>
          <w:szCs w:val="32"/>
        </w:rPr>
        <w:t>；另外，</w:t>
      </w:r>
      <w:r>
        <w:rPr>
          <w:rFonts w:ascii="仿宋_GB2312" w:hAnsi="仿宋_GB2312" w:eastAsia="仿宋_GB2312" w:cs="仿宋_GB2312"/>
          <w:sz w:val="32"/>
          <w:szCs w:val="32"/>
        </w:rPr>
        <w:t>农村</w:t>
      </w:r>
      <w:r>
        <w:rPr>
          <w:rFonts w:hint="eastAsia" w:ascii="仿宋_GB2312" w:hAnsi="仿宋_GB2312" w:eastAsia="仿宋_GB2312" w:cs="仿宋_GB2312"/>
          <w:sz w:val="32"/>
          <w:szCs w:val="32"/>
        </w:rPr>
        <w:t>地区</w:t>
      </w:r>
      <w:r>
        <w:rPr>
          <w:rFonts w:ascii="仿宋_GB2312" w:hAnsi="仿宋_GB2312" w:eastAsia="仿宋_GB2312" w:cs="仿宋_GB2312"/>
          <w:sz w:val="32"/>
          <w:szCs w:val="32"/>
        </w:rPr>
        <w:t>的</w:t>
      </w:r>
      <w:r>
        <w:rPr>
          <w:rFonts w:hint="eastAsia" w:ascii="仿宋_GB2312" w:hAnsi="仿宋_GB2312" w:eastAsia="仿宋_GB2312" w:cs="仿宋_GB2312"/>
          <w:sz w:val="32"/>
          <w:szCs w:val="32"/>
        </w:rPr>
        <w:t>工作</w:t>
      </w:r>
      <w:r>
        <w:rPr>
          <w:rFonts w:ascii="仿宋_GB2312" w:hAnsi="仿宋_GB2312" w:eastAsia="仿宋_GB2312" w:cs="仿宋_GB2312"/>
          <w:sz w:val="32"/>
          <w:szCs w:val="32"/>
        </w:rPr>
        <w:t>环境</w:t>
      </w:r>
      <w:r>
        <w:rPr>
          <w:rFonts w:hint="eastAsia" w:ascii="仿宋_GB2312" w:hAnsi="仿宋_GB2312" w:eastAsia="仿宋_GB2312" w:cs="仿宋_GB2312"/>
          <w:sz w:val="32"/>
          <w:szCs w:val="32"/>
        </w:rPr>
        <w:t>和发展前景缺少</w:t>
      </w:r>
      <w:r>
        <w:rPr>
          <w:rFonts w:ascii="仿宋_GB2312" w:hAnsi="仿宋_GB2312" w:eastAsia="仿宋_GB2312" w:cs="仿宋_GB2312"/>
          <w:sz w:val="32"/>
          <w:szCs w:val="32"/>
        </w:rPr>
        <w:t>从业吸引力</w:t>
      </w:r>
      <w:r>
        <w:rPr>
          <w:rFonts w:hint="eastAsia" w:ascii="仿宋_GB2312" w:hAnsi="仿宋_GB2312" w:eastAsia="仿宋_GB2312" w:cs="仿宋_GB2312"/>
          <w:sz w:val="32"/>
          <w:szCs w:val="32"/>
        </w:rPr>
        <w:t>，难以</w:t>
      </w:r>
      <w:r>
        <w:rPr>
          <w:rFonts w:ascii="仿宋_GB2312" w:hAnsi="仿宋_GB2312" w:eastAsia="仿宋_GB2312" w:cs="仿宋_GB2312"/>
          <w:sz w:val="32"/>
          <w:szCs w:val="32"/>
        </w:rPr>
        <w:t>吸引高水平电商人才</w:t>
      </w:r>
      <w:r>
        <w:rPr>
          <w:rFonts w:hint="eastAsia" w:ascii="仿宋_GB2312" w:hAnsi="仿宋_GB2312" w:eastAsia="仿宋_GB2312" w:cs="仿宋_GB2312"/>
          <w:sz w:val="32"/>
          <w:szCs w:val="32"/>
        </w:rPr>
        <w:t>。</w:t>
      </w:r>
    </w:p>
    <w:p w14:paraId="45C6503C">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（三）产品模式单一</w:t>
      </w:r>
      <w:r>
        <w:rPr>
          <w:rFonts w:ascii="楷体_GB2312" w:hAnsi="楷体_GB2312" w:eastAsia="楷体_GB2312" w:cs="楷体_GB2312"/>
          <w:sz w:val="32"/>
          <w:szCs w:val="32"/>
        </w:rPr>
        <w:t>，</w:t>
      </w:r>
      <w:r>
        <w:rPr>
          <w:rFonts w:hint="eastAsia" w:ascii="楷体_GB2312" w:hAnsi="楷体_GB2312" w:eastAsia="楷体_GB2312" w:cs="楷体_GB2312"/>
          <w:sz w:val="32"/>
          <w:szCs w:val="32"/>
        </w:rPr>
        <w:t>品牌效应不突出。</w:t>
      </w:r>
      <w:r>
        <w:rPr>
          <w:rFonts w:hint="eastAsia" w:ascii="仿宋_GB2312" w:hAnsi="仿宋_GB2312" w:eastAsia="仿宋_GB2312" w:cs="仿宋_GB2312"/>
          <w:sz w:val="32"/>
          <w:szCs w:val="32"/>
        </w:rPr>
        <w:t>我旗属于半农半林地区，具有地域特色的有机绿色农畜产品具有良好的发展前景，但我旗杂粮、牛羊肉、山珍、药材等产品商业化程度不高，且有些乡镇产品同质化严重，没有形成规模化、组织化、标准化的产业集群，一定程度上阻碍了电商经济的发展。</w:t>
      </w:r>
    </w:p>
    <w:p w14:paraId="6FF2866E">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二、意见及建议</w:t>
      </w:r>
    </w:p>
    <w:p w14:paraId="471BA91F">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w:t>
      </w:r>
      <w:r>
        <w:rPr>
          <w:rFonts w:hint="eastAsia" w:ascii="楷体_GB2312" w:hAnsi="楷体_GB2312" w:eastAsia="楷体_GB2312" w:cs="楷体_GB2312"/>
          <w:sz w:val="32"/>
          <w:szCs w:val="32"/>
        </w:rPr>
        <w:t>聚焦平台支撑，完善农村牧区电商运营体系。</w:t>
      </w:r>
      <w:r>
        <w:rPr>
          <w:rFonts w:hint="eastAsia" w:ascii="仿宋_GB2312" w:hAnsi="仿宋_GB2312" w:eastAsia="仿宋_GB2312" w:cs="仿宋_GB2312"/>
          <w:b/>
          <w:bCs/>
          <w:sz w:val="32"/>
          <w:szCs w:val="32"/>
        </w:rPr>
        <w:t>一是提升自有平台运营能力。</w:t>
      </w:r>
      <w:r>
        <w:rPr>
          <w:rFonts w:hint="eastAsia" w:ascii="仿宋_GB2312" w:hAnsi="仿宋_GB2312" w:eastAsia="仿宋_GB2312" w:cs="仿宋_GB2312"/>
          <w:sz w:val="32"/>
          <w:szCs w:val="32"/>
        </w:rPr>
        <w:t>加强对旗内现有</w:t>
      </w:r>
      <w:r>
        <w:rPr>
          <w:rFonts w:hint="eastAsia" w:ascii="仿宋_GB2312" w:hAnsi="仿宋_GB2312" w:eastAsia="仿宋_GB2312" w:cs="仿宋_GB2312"/>
          <w:color w:val="000000" w:themeColor="text1"/>
          <w:sz w:val="32"/>
          <w:szCs w:val="32"/>
          <w14:textFill>
            <w14:solidFill>
              <w14:schemeClr w14:val="tx1"/>
            </w14:solidFill>
          </w14:textFill>
        </w:rPr>
        <w:t>电商公共服务中心、仓储快递物流分拨中心</w:t>
      </w:r>
      <w:r>
        <w:rPr>
          <w:rFonts w:hint="eastAsia" w:ascii="仿宋_GB2312" w:hAnsi="仿宋_GB2312" w:eastAsia="仿宋_GB2312" w:cs="仿宋_GB2312"/>
          <w:sz w:val="32"/>
          <w:szCs w:val="32"/>
        </w:rPr>
        <w:t>等自建平台的推广运用。吸收本地特色农畜产品经营企业和有一定影响力的本地自创品牌企业入驻，抓好农村电商平台载体建设。</w:t>
      </w:r>
      <w:r>
        <w:rPr>
          <w:rFonts w:hint="eastAsia" w:ascii="仿宋_GB2312" w:hAnsi="仿宋_GB2312" w:eastAsia="仿宋_GB2312" w:cs="仿宋_GB2312"/>
          <w:b/>
          <w:bCs/>
          <w:sz w:val="32"/>
          <w:szCs w:val="32"/>
        </w:rPr>
        <w:t>二是优化传统平台销售模式。</w:t>
      </w:r>
      <w:r>
        <w:rPr>
          <w:rFonts w:hint="eastAsia" w:ascii="仿宋_GB2312" w:hAnsi="仿宋_GB2312" w:eastAsia="仿宋_GB2312" w:cs="仿宋_GB2312"/>
          <w:sz w:val="32"/>
          <w:szCs w:val="32"/>
        </w:rPr>
        <w:t>引入传统平台第三方运营服务商，加快实施农牧业大数据工程，建立大数据全信息链，对标同类竞品，通过对优秀竞品的销售模式、产品层次和营销方式等进行数据化分析，对照本地农畜产品特征，形成全新销售模式。</w:t>
      </w:r>
      <w:r>
        <w:rPr>
          <w:rFonts w:hint="eastAsia" w:ascii="仿宋_GB2312" w:hAnsi="仿宋_GB2312" w:eastAsia="仿宋_GB2312" w:cs="仿宋_GB2312"/>
          <w:b/>
          <w:bCs/>
          <w:sz w:val="32"/>
          <w:szCs w:val="32"/>
        </w:rPr>
        <w:t>三是加快新型平台运用覆盖。</w:t>
      </w:r>
      <w:r>
        <w:rPr>
          <w:rFonts w:hint="eastAsia" w:ascii="仿宋_GB2312" w:hAnsi="仿宋_GB2312" w:eastAsia="仿宋_GB2312" w:cs="仿宋_GB2312"/>
          <w:sz w:val="32"/>
          <w:szCs w:val="32"/>
        </w:rPr>
        <w:t>充分发挥电商直播、短视频促消费的积极作用，面向全国推销我旗特色农畜产品，抢抓元旦、春节、国庆等节庆期间群体性消费热点，开展直播达人大赛、网红产品评选等活动，积极挖掘直播电商助农增收潜力。</w:t>
      </w:r>
    </w:p>
    <w:p w14:paraId="35969F10">
      <w:pPr>
        <w:spacing w:line="56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sz w:val="32"/>
          <w:szCs w:val="32"/>
        </w:rPr>
        <w:t>（二）聚焦人才培养，提升农村牧区电商运营活力。</w:t>
      </w:r>
      <w:r>
        <w:rPr>
          <w:rFonts w:hint="eastAsia" w:ascii="仿宋_GB2312" w:hAnsi="仿宋_GB2312" w:eastAsia="仿宋_GB2312" w:cs="仿宋_GB2312"/>
          <w:b/>
          <w:bCs/>
          <w:sz w:val="32"/>
          <w:szCs w:val="32"/>
        </w:rPr>
        <w:t>一是提升“引才”力度。</w:t>
      </w:r>
      <w:r>
        <w:rPr>
          <w:rFonts w:hint="eastAsia" w:ascii="仿宋_GB2312" w:hAnsi="仿宋_GB2312" w:eastAsia="仿宋_GB2312" w:cs="仿宋_GB2312"/>
          <w:sz w:val="32"/>
          <w:szCs w:val="32"/>
        </w:rPr>
        <w:t>根据旗内农牧业产业特色，由旗乡两级共同主导，吸纳专业的电商运营团队，制定出台电商人才引进和管理办法，给予相应的专项津贴和补助。</w:t>
      </w:r>
      <w:r>
        <w:rPr>
          <w:rFonts w:hint="eastAsia" w:ascii="仿宋_GB2312" w:hAnsi="仿宋_GB2312" w:eastAsia="仿宋_GB2312" w:cs="仿宋_GB2312"/>
          <w:b/>
          <w:bCs/>
          <w:sz w:val="32"/>
          <w:szCs w:val="32"/>
        </w:rPr>
        <w:t>二是提升“育才”精度。</w:t>
      </w:r>
      <w:r>
        <w:rPr>
          <w:rFonts w:hint="eastAsia" w:ascii="仿宋_GB2312" w:hAnsi="仿宋_GB2312" w:eastAsia="仿宋_GB2312" w:cs="仿宋_GB2312"/>
          <w:color w:val="000000" w:themeColor="text1"/>
          <w:sz w:val="32"/>
          <w:szCs w:val="32"/>
          <w14:textFill>
            <w14:solidFill>
              <w14:schemeClr w14:val="tx1"/>
            </w14:solidFill>
          </w14:textFill>
        </w:rPr>
        <w:t>面向企业经营管理者、创业群体、电商从业人员，有针对性地开展理念培训、入门培训、技能提升等培训，积极帮助有意向人员开设网上店铺，开展电商创业</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三是提升“储才”深度。</w:t>
      </w:r>
      <w:r>
        <w:rPr>
          <w:rFonts w:hint="eastAsia" w:ascii="仿宋_GB2312" w:hAnsi="仿宋_GB2312" w:eastAsia="仿宋_GB2312" w:cs="仿宋_GB2312"/>
          <w:sz w:val="32"/>
          <w:szCs w:val="32"/>
        </w:rPr>
        <w:t>建议探索“政校企”乡村振兴专项人才协同培养机制，通过政府推动、校企合作办学等途径，开展“校企”培训合作，共同培育电商人才，实现校企“双向奔赴”。</w:t>
      </w:r>
    </w:p>
    <w:p w14:paraId="4A12429C">
      <w:pPr>
        <w:pStyle w:val="11"/>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kern w:val="2"/>
          <w:sz w:val="32"/>
          <w:szCs w:val="32"/>
        </w:rPr>
        <w:t>（三）聚焦品牌建设，推动农村电商发展取得实效。</w:t>
      </w:r>
      <w:r>
        <w:rPr>
          <w:rFonts w:hint="eastAsia" w:ascii="仿宋_GB2312" w:hAnsi="仿宋_GB2312" w:eastAsia="仿宋_GB2312" w:cs="仿宋_GB2312"/>
          <w:b/>
          <w:bCs/>
          <w:color w:val="000000" w:themeColor="text1"/>
          <w:sz w:val="32"/>
          <w:szCs w:val="32"/>
          <w14:textFill>
            <w14:solidFill>
              <w14:schemeClr w14:val="tx1"/>
            </w14:solidFill>
          </w14:textFill>
        </w:rPr>
        <w:t>一是打造本土电商品牌。</w:t>
      </w:r>
      <w:r>
        <w:rPr>
          <w:rFonts w:hint="eastAsia" w:ascii="仿宋_GB2312" w:hAnsi="仿宋_GB2312" w:eastAsia="仿宋_GB2312" w:cs="仿宋_GB2312"/>
          <w:color w:val="000000" w:themeColor="text1"/>
          <w:sz w:val="32"/>
          <w:szCs w:val="32"/>
          <w14:textFill>
            <w14:solidFill>
              <w14:schemeClr w14:val="tx1"/>
            </w14:solidFill>
          </w14:textFill>
        </w:rPr>
        <w:t>依托特色产业，坚持“互联网+乡村振兴”深度融合，通过政府支持、基地支撑、媒体助力的协同模式，实现多场景多行业共同参与，打通销售渠道。</w:t>
      </w:r>
      <w:r>
        <w:rPr>
          <w:rFonts w:hint="eastAsia" w:ascii="仿宋_GB2312" w:hAnsi="仿宋_GB2312" w:eastAsia="仿宋_GB2312" w:cs="仿宋_GB2312"/>
          <w:b/>
          <w:bCs/>
          <w:color w:val="000000" w:themeColor="text1"/>
          <w:sz w:val="32"/>
          <w:szCs w:val="32"/>
          <w14:textFill>
            <w14:solidFill>
              <w14:schemeClr w14:val="tx1"/>
            </w14:solidFill>
          </w14:textFill>
        </w:rPr>
        <w:t>二是明确本土品牌定位。</w:t>
      </w:r>
      <w:r>
        <w:rPr>
          <w:rFonts w:hint="eastAsia" w:ascii="仿宋_GB2312" w:hAnsi="仿宋_GB2312" w:eastAsia="仿宋_GB2312" w:cs="仿宋_GB2312"/>
          <w:color w:val="000000" w:themeColor="text1"/>
          <w:sz w:val="32"/>
          <w:szCs w:val="32"/>
          <w14:textFill>
            <w14:solidFill>
              <w14:schemeClr w14:val="tx1"/>
            </w14:solidFill>
          </w14:textFill>
        </w:rPr>
        <w:t>按照“打造一个品牌、带活一个产业、富裕一方群众”的思路，依托各乡镇资源优势，突出规划引领，将品牌打造作为农牧产业强乡、特色产业集群、地理标志保护的重要任务，带动特色产业快速发展。</w:t>
      </w:r>
      <w:r>
        <w:rPr>
          <w:rFonts w:hint="eastAsia" w:ascii="仿宋_GB2312" w:hAnsi="仿宋_GB2312" w:eastAsia="仿宋_GB2312" w:cs="仿宋_GB2312"/>
          <w:b/>
          <w:bCs/>
          <w:color w:val="000000" w:themeColor="text1"/>
          <w:sz w:val="32"/>
          <w:szCs w:val="32"/>
          <w14:textFill>
            <w14:solidFill>
              <w14:schemeClr w14:val="tx1"/>
            </w14:solidFill>
          </w14:textFill>
        </w:rPr>
        <w:t>三是提升本土品牌形象。</w:t>
      </w:r>
      <w:r>
        <w:rPr>
          <w:rFonts w:hint="eastAsia" w:ascii="仿宋_GB2312" w:hAnsi="仿宋_GB2312" w:eastAsia="仿宋_GB2312" w:cs="仿宋_GB2312"/>
          <w:color w:val="000000" w:themeColor="text1"/>
          <w:sz w:val="32"/>
          <w:szCs w:val="32"/>
          <w14:textFill>
            <w14:solidFill>
              <w14:schemeClr w14:val="tx1"/>
            </w14:solidFill>
          </w14:textFill>
        </w:rPr>
        <w:t>积极参与“赤峰好物进北京”等产品推介活动，组织好农民丰收节各项子活动；完善“一品一码”全过程追溯体系，加大产品的包装设计力度，让产品鲜活起来，提升本地农畜产品的知名度和美誉度。</w:t>
      </w:r>
    </w:p>
    <w:p w14:paraId="36096EE8">
      <w:pPr>
        <w:rPr>
          <w:rFonts w:ascii="仿宋_GB2312" w:eastAsia="仿宋_GB2312"/>
        </w:rPr>
      </w:pPr>
    </w:p>
    <w:p w14:paraId="56569FD0">
      <w:pPr>
        <w:spacing w:line="560" w:lineRule="exact"/>
        <w:rPr>
          <w:rFonts w:ascii="仿宋_GB2312" w:hAnsi="方正楷体_GBK" w:eastAsia="仿宋_GB2312" w:cs="方正楷体_GBK"/>
          <w:sz w:val="32"/>
          <w:szCs w:val="32"/>
        </w:rPr>
      </w:pPr>
    </w:p>
    <w:p w14:paraId="5AF8AC06">
      <w:pPr>
        <w:spacing w:line="560" w:lineRule="exact"/>
        <w:rPr>
          <w:rFonts w:ascii="楷体_GB2312" w:hAnsi="方正楷体_GBK" w:eastAsia="楷体_GB2312" w:cs="方正楷体_GBK"/>
          <w:sz w:val="32"/>
          <w:szCs w:val="32"/>
        </w:rPr>
      </w:pPr>
    </w:p>
    <w:p w14:paraId="5EA4D7B3">
      <w:pPr>
        <w:spacing w:line="560" w:lineRule="exact"/>
        <w:rPr>
          <w:rFonts w:ascii="楷体_GB2312" w:hAnsi="方正楷体_GBK" w:eastAsia="楷体_GB2312" w:cs="方正楷体_GBK"/>
          <w:sz w:val="32"/>
          <w:szCs w:val="32"/>
        </w:rPr>
      </w:pPr>
    </w:p>
    <w:p w14:paraId="23463522">
      <w:pPr>
        <w:spacing w:line="560" w:lineRule="exact"/>
        <w:rPr>
          <w:rFonts w:ascii="楷体_GB2312" w:hAnsi="方正楷体_GBK" w:eastAsia="楷体_GB2312" w:cs="方正楷体_GBK"/>
          <w:sz w:val="32"/>
          <w:szCs w:val="32"/>
        </w:rPr>
      </w:pPr>
    </w:p>
    <w:p w14:paraId="5B7F14A5">
      <w:pPr>
        <w:spacing w:line="560" w:lineRule="exact"/>
        <w:rPr>
          <w:rFonts w:ascii="楷体_GB2312" w:hAnsi="方正楷体_GBK" w:eastAsia="楷体_GB2312" w:cs="方正楷体_GBK"/>
          <w:sz w:val="32"/>
          <w:szCs w:val="32"/>
        </w:rPr>
      </w:pPr>
    </w:p>
    <w:p w14:paraId="2FA2B446">
      <w:pPr>
        <w:spacing w:line="560" w:lineRule="exact"/>
        <w:rPr>
          <w:rFonts w:ascii="楷体_GB2312" w:hAnsi="方正楷体_GBK" w:eastAsia="楷体_GB2312" w:cs="方正楷体_GBK"/>
          <w:sz w:val="32"/>
          <w:szCs w:val="32"/>
        </w:rPr>
      </w:pPr>
    </w:p>
    <w:p w14:paraId="2A94CA3F">
      <w:pPr>
        <w:spacing w:line="560" w:lineRule="exact"/>
        <w:rPr>
          <w:rFonts w:ascii="楷体_GB2312" w:hAnsi="方正楷体_GBK" w:eastAsia="楷体_GB2312" w:cs="方正楷体_GBK"/>
          <w:sz w:val="32"/>
          <w:szCs w:val="32"/>
        </w:rPr>
      </w:pPr>
    </w:p>
    <w:p w14:paraId="5291E8AB">
      <w:pPr>
        <w:spacing w:line="560" w:lineRule="exact"/>
        <w:rPr>
          <w:rFonts w:ascii="楷体_GB2312" w:hAnsi="方正楷体_GBK" w:eastAsia="楷体_GB2312" w:cs="方正楷体_GBK"/>
          <w:sz w:val="32"/>
          <w:szCs w:val="32"/>
        </w:rPr>
      </w:pPr>
    </w:p>
    <w:p w14:paraId="15AB0886">
      <w:pPr>
        <w:spacing w:line="560" w:lineRule="exact"/>
        <w:rPr>
          <w:rFonts w:ascii="楷体_GB2312" w:hAnsi="方正楷体_GBK" w:eastAsia="楷体_GB2312" w:cs="方正楷体_GBK"/>
          <w:sz w:val="32"/>
          <w:szCs w:val="32"/>
        </w:rPr>
      </w:pPr>
    </w:p>
    <w:p w14:paraId="2D1C1E79">
      <w:pPr>
        <w:spacing w:line="560" w:lineRule="exact"/>
        <w:rPr>
          <w:rFonts w:ascii="楷体_GB2312" w:hAnsi="方正楷体_GBK" w:eastAsia="楷体_GB2312" w:cs="方正楷体_GBK"/>
          <w:sz w:val="32"/>
          <w:szCs w:val="32"/>
        </w:rPr>
      </w:pPr>
    </w:p>
    <w:p w14:paraId="7C435744">
      <w:pPr>
        <w:spacing w:line="560" w:lineRule="exact"/>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提案编号：012</w:t>
      </w:r>
    </w:p>
    <w:p w14:paraId="25E6B9A8">
      <w:pPr>
        <w:spacing w:line="560" w:lineRule="exact"/>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提案名称：关于扶持奖励乡村旅游及农家乐快速发展的提案</w:t>
      </w:r>
    </w:p>
    <w:p w14:paraId="4FF97966">
      <w:pPr>
        <w:spacing w:line="560" w:lineRule="exact"/>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提 案 人：尹晓利</w:t>
      </w:r>
    </w:p>
    <w:p w14:paraId="3599803E">
      <w:pPr>
        <w:spacing w:line="560" w:lineRule="exact"/>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联系方式：15849944699</w:t>
      </w:r>
    </w:p>
    <w:p w14:paraId="11117AFD">
      <w:pPr>
        <w:spacing w:line="560" w:lineRule="exact"/>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界    别：工商业联合会</w:t>
      </w:r>
    </w:p>
    <w:p w14:paraId="7950BA21">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关于扶持奖励乡村旅游及农家乐快速发展的提案</w:t>
      </w:r>
    </w:p>
    <w:p w14:paraId="49465B52">
      <w:pPr>
        <w:spacing w:line="560" w:lineRule="exact"/>
        <w:ind w:firstLine="600"/>
        <w:rPr>
          <w:sz w:val="30"/>
          <w:szCs w:val="30"/>
        </w:rPr>
      </w:pPr>
    </w:p>
    <w:p w14:paraId="5EF61B1E">
      <w:pPr>
        <w:spacing w:line="56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随着人民生活水平的日益提高，追求“回归自然”，“田园生活”的乡村体验式消费大幅增长，以“农家乐”为主要形式的乡村旅游正在悄然兴起，市场需求日趋旺盛，尤其是随着“清新喀喇沁、健康生态游”的快捷推进，全旗以旅游景点为发展目标，提介乡村旅游带动地方生态旅游发展的步伐，乡村旅游已步入当前时期的一种生活趋势，以“吃农家饭、品农家菜、住农家屋、干农家活、享农家乐、购农产品”的乡村体验旅游逐渐成为城里人休闲度假的主要方式。</w:t>
      </w:r>
    </w:p>
    <w:p w14:paraId="399A452F">
      <w:pPr>
        <w:spacing w:line="560" w:lineRule="exact"/>
        <w:rPr>
          <w:rFonts w:ascii="黑体" w:hAnsi="黑体" w:eastAsia="黑体" w:cs="方正仿宋_GBK"/>
          <w:sz w:val="32"/>
          <w:szCs w:val="32"/>
        </w:rPr>
      </w:pPr>
      <w:r>
        <w:rPr>
          <w:rFonts w:hint="eastAsia" w:ascii="黑体" w:hAnsi="黑体" w:eastAsia="黑体" w:cs="方正仿宋_GBK"/>
          <w:sz w:val="32"/>
          <w:szCs w:val="32"/>
        </w:rPr>
        <w:t>一、存在的问题</w:t>
      </w:r>
    </w:p>
    <w:p w14:paraId="082D44B2">
      <w:pPr>
        <w:spacing w:line="56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一是</w:t>
      </w:r>
      <w:r>
        <w:rPr>
          <w:rFonts w:hint="eastAsia" w:ascii="仿宋_GB2312" w:hAnsi="方正仿宋_GBK" w:eastAsia="仿宋_GB2312" w:cs="方正仿宋_GBK"/>
          <w:sz w:val="32"/>
          <w:szCs w:val="32"/>
        </w:rPr>
        <w:t>发展数量较少，满足不了快速兴起的乡村旅游发展需要。</w:t>
      </w:r>
    </w:p>
    <w:p w14:paraId="393B518C">
      <w:pPr>
        <w:spacing w:line="560" w:lineRule="exact"/>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二是</w:t>
      </w:r>
      <w:r>
        <w:rPr>
          <w:rFonts w:hint="eastAsia" w:ascii="仿宋_GB2312" w:hAnsi="方正仿宋_GBK" w:eastAsia="仿宋_GB2312" w:cs="方正仿宋_GBK"/>
          <w:sz w:val="32"/>
          <w:szCs w:val="32"/>
        </w:rPr>
        <w:t>农家乐“创星”标准高，许多农户望而却步，我旗乡村农家乐建设都处于起步阶段，接待规模和接待能力还远远达不到旅游主管部门的验收要求，难以享受到政府奖补政策。</w:t>
      </w:r>
      <w:r>
        <w:rPr>
          <w:rFonts w:hint="eastAsia" w:ascii="仿宋_GB2312" w:hAnsi="方正仿宋_GBK" w:eastAsia="仿宋_GB2312" w:cs="方正仿宋_GBK"/>
          <w:b/>
          <w:bCs/>
          <w:sz w:val="32"/>
          <w:szCs w:val="32"/>
        </w:rPr>
        <w:t>三是</w:t>
      </w:r>
      <w:r>
        <w:rPr>
          <w:rFonts w:hint="eastAsia" w:ascii="仿宋_GB2312" w:hAnsi="方正仿宋_GBK" w:eastAsia="仿宋_GB2312" w:cs="方正仿宋_GBK"/>
          <w:sz w:val="32"/>
          <w:szCs w:val="32"/>
        </w:rPr>
        <w:t>旅游景区景点建设缺乏统筹规划，对发展乡村旅游、农家乐带动乡村游认识不足，支持力度也不够，缺乏足够的政策支撑。</w:t>
      </w:r>
    </w:p>
    <w:p w14:paraId="012B13C3">
      <w:pPr>
        <w:spacing w:line="560" w:lineRule="exact"/>
        <w:rPr>
          <w:rFonts w:ascii="黑体" w:hAnsi="黑体" w:eastAsia="黑体" w:cs="方正仿宋_GBK"/>
          <w:sz w:val="32"/>
          <w:szCs w:val="32"/>
        </w:rPr>
      </w:pPr>
      <w:r>
        <w:rPr>
          <w:rFonts w:hint="eastAsia" w:ascii="黑体" w:hAnsi="黑体" w:eastAsia="黑体" w:cs="方正仿宋_GBK"/>
          <w:sz w:val="32"/>
          <w:szCs w:val="32"/>
        </w:rPr>
        <w:t>二、建议</w:t>
      </w:r>
    </w:p>
    <w:p w14:paraId="744300E8">
      <w:pPr>
        <w:spacing w:line="56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一是</w:t>
      </w:r>
      <w:r>
        <w:rPr>
          <w:rFonts w:hint="eastAsia" w:ascii="仿宋_GB2312" w:hAnsi="方正仿宋_GBK" w:eastAsia="仿宋_GB2312" w:cs="方正仿宋_GBK"/>
          <w:sz w:val="32"/>
          <w:szCs w:val="32"/>
        </w:rPr>
        <w:t>把大力发展乡村旅馆、农家乐作为开发乡村旅游的重要“引擎”来抓，全旗上下要从重抓美丽乡村建设中重点结合乡村旅游和农家乐建设的转变，由原来重点抓美丽乡村建设带动乡村旅游及农家乐的发展，科学规划，合理布局，引导农户利用自家庭院发展农家乐和乡村旅馆，让城里人游在乡村、玩在乡村、住在乡村、吃在乡村，让广大农民群众围绕旅游搞种养，围绕旅游搞经营，围绕旅游抓开发，逐步形成“家家做生意、户户有收入、人人当老板”的发展格局。</w:t>
      </w:r>
    </w:p>
    <w:p w14:paraId="4867D4F3">
      <w:pPr>
        <w:spacing w:line="56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二是</w:t>
      </w:r>
      <w:r>
        <w:rPr>
          <w:rFonts w:hint="eastAsia" w:ascii="仿宋_GB2312" w:hAnsi="方正仿宋_GBK" w:eastAsia="仿宋_GB2312" w:cs="方正仿宋_GBK"/>
          <w:sz w:val="32"/>
          <w:szCs w:val="32"/>
        </w:rPr>
        <w:t>简化建设招投标程序及其他费用支出，让更多资金投入到建设当中。</w:t>
      </w:r>
    </w:p>
    <w:p w14:paraId="21C02C79">
      <w:pPr>
        <w:spacing w:line="56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三是</w:t>
      </w:r>
      <w:r>
        <w:rPr>
          <w:rFonts w:hint="eastAsia" w:ascii="仿宋_GB2312" w:hAnsi="方正仿宋_GBK" w:eastAsia="仿宋_GB2312" w:cs="方正仿宋_GBK"/>
          <w:sz w:val="32"/>
          <w:szCs w:val="32"/>
        </w:rPr>
        <w:t>建设用地报批政策的倾斜及简单化。</w:t>
      </w:r>
    </w:p>
    <w:p w14:paraId="60722EDE">
      <w:pPr>
        <w:spacing w:line="56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四是</w:t>
      </w:r>
      <w:r>
        <w:rPr>
          <w:rFonts w:hint="eastAsia" w:ascii="仿宋_GB2312" w:hAnsi="方正仿宋_GBK" w:eastAsia="仿宋_GB2312" w:cs="方正仿宋_GBK"/>
          <w:sz w:val="32"/>
          <w:szCs w:val="32"/>
        </w:rPr>
        <w:t>根据本旗实际，调整农家乐星级评定标准，建设旗文体旅局等相关职能部门对乡村刚起步建设的农家乐验收补助时不能实施“一刀切”，应先鼓励发展建设为基本要求，因地制宜制定验收标准，让每一户从事农家乐和乡村旅馆的农户都可享受到政府补贴，加大资金补助，以奖带补的方式促进农家乐快速发展，特别是对评为星级农家院的给予一定资金的奖励。</w:t>
      </w:r>
    </w:p>
    <w:p w14:paraId="295A145D">
      <w:pPr>
        <w:spacing w:line="56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五是</w:t>
      </w:r>
      <w:r>
        <w:rPr>
          <w:rFonts w:hint="eastAsia" w:ascii="仿宋_GB2312" w:hAnsi="方正仿宋_GBK" w:eastAsia="仿宋_GB2312" w:cs="方正仿宋_GBK"/>
          <w:sz w:val="32"/>
          <w:szCs w:val="32"/>
        </w:rPr>
        <w:t>由政府牵引做整体宣传推广，引导更多游客走进乡村，确保乡村旅游可持续发展，真正让旅游兴村、旅游惠民、旅游富店。</w:t>
      </w:r>
    </w:p>
    <w:p w14:paraId="396A9D8A">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509460B8">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提案编号：013</w:t>
      </w:r>
    </w:p>
    <w:p w14:paraId="5F194D7A">
      <w:pPr>
        <w:rPr>
          <w:rFonts w:ascii="楷体_GB2312" w:eastAsia="楷体_GB2312"/>
          <w:sz w:val="32"/>
          <w:szCs w:val="32"/>
        </w:rPr>
      </w:pPr>
      <w:r>
        <w:rPr>
          <w:rFonts w:hint="eastAsia" w:ascii="楷体_GB2312" w:hAnsi="方正楷体_GBK" w:eastAsia="楷体_GB2312" w:cs="方正楷体_GBK"/>
          <w:color w:val="000000"/>
          <w:spacing w:val="5"/>
          <w:sz w:val="32"/>
          <w:szCs w:val="32"/>
        </w:rPr>
        <w:t>提案名称：</w:t>
      </w:r>
      <w:r>
        <w:rPr>
          <w:rFonts w:hint="eastAsia" w:ascii="楷体_GB2312" w:eastAsia="楷体_GB2312"/>
          <w:sz w:val="32"/>
          <w:szCs w:val="32"/>
        </w:rPr>
        <w:t>关于改善小微企业发展瓶颈问题的提案</w:t>
      </w:r>
    </w:p>
    <w:p w14:paraId="0B968985">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 案 人：贡艳春</w:t>
      </w:r>
    </w:p>
    <w:p w14:paraId="7420C836">
      <w:pPr>
        <w:spacing w:line="560" w:lineRule="exact"/>
        <w:rPr>
          <w:rFonts w:ascii="楷体_GB2312" w:hAnsi="华文仿宋" w:eastAsia="楷体_GB2312" w:cs="华文仿宋"/>
          <w:kern w:val="0"/>
          <w:sz w:val="32"/>
          <w:szCs w:val="32"/>
        </w:rPr>
      </w:pPr>
      <w:r>
        <w:rPr>
          <w:rFonts w:hint="eastAsia" w:ascii="楷体_GB2312" w:hAnsi="方正楷体_GBK" w:eastAsia="楷体_GB2312" w:cs="方正楷体_GBK"/>
          <w:color w:val="000000"/>
          <w:spacing w:val="5"/>
          <w:sz w:val="32"/>
          <w:szCs w:val="32"/>
        </w:rPr>
        <w:t>联系方式：</w:t>
      </w:r>
      <w:r>
        <w:rPr>
          <w:rFonts w:ascii="楷体_GB2312" w:hAnsi="方正楷体_GBK" w:eastAsia="楷体_GB2312" w:cs="方正楷体_GBK"/>
          <w:color w:val="000000"/>
          <w:spacing w:val="5"/>
          <w:sz w:val="32"/>
          <w:szCs w:val="32"/>
        </w:rPr>
        <w:t>15047583527</w:t>
      </w:r>
    </w:p>
    <w:p w14:paraId="54953410">
      <w:pPr>
        <w:pStyle w:val="11"/>
        <w:widowControl/>
        <w:tabs>
          <w:tab w:val="center" w:pos="4153"/>
        </w:tabs>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界    别：农牧业</w:t>
      </w:r>
    </w:p>
    <w:p w14:paraId="33EF4978">
      <w:pPr>
        <w:jc w:val="center"/>
        <w:rPr>
          <w:rFonts w:ascii="方正小标宋简体" w:eastAsia="方正小标宋简体"/>
          <w:sz w:val="44"/>
          <w:szCs w:val="44"/>
        </w:rPr>
      </w:pPr>
      <w:r>
        <w:rPr>
          <w:rFonts w:hint="eastAsia" w:ascii="方正小标宋简体" w:eastAsia="方正小标宋简体"/>
          <w:sz w:val="44"/>
          <w:szCs w:val="44"/>
        </w:rPr>
        <w:t>关于改善小微企业发展瓶颈问题的提案</w:t>
      </w:r>
    </w:p>
    <w:p w14:paraId="44862F52">
      <w:pPr>
        <w:ind w:firstLine="640" w:firstLineChars="200"/>
        <w:rPr>
          <w:rFonts w:ascii="仿宋_GB2312" w:eastAsia="仿宋_GB2312"/>
          <w:sz w:val="32"/>
          <w:szCs w:val="32"/>
        </w:rPr>
      </w:pPr>
      <w:r>
        <w:rPr>
          <w:rFonts w:hint="eastAsia" w:ascii="仿宋_GB2312" w:eastAsia="仿宋_GB2312"/>
          <w:sz w:val="32"/>
          <w:szCs w:val="32"/>
        </w:rPr>
        <w:t>企业是推动经济高质量发展的主体，稳定经济关键是稳定企业，企业有活力，经济才有动力，我旗有很多中小微企业，在旗域经济的发展中起了重要作用，特别是一些小微企业，成立在基层农村，为农村的脱贫脱困，农民的再就业，以及农村社会经济的稳定发展，起到很大的作用。但是这些小微企业在成长过程中也遇到了很多制约发展的“瓶颈”问题，如何解决这些难题，使小微企业健康有序发展，也是政府需要重视的问题。</w:t>
      </w:r>
    </w:p>
    <w:p w14:paraId="589EFC58">
      <w:pPr>
        <w:rPr>
          <w:rFonts w:ascii="黑体" w:hAnsi="黑体" w:eastAsia="黑体"/>
          <w:sz w:val="32"/>
          <w:szCs w:val="32"/>
        </w:rPr>
      </w:pPr>
      <w:r>
        <w:rPr>
          <w:rFonts w:hint="eastAsia" w:ascii="黑体" w:hAnsi="黑体" w:eastAsia="黑体"/>
          <w:sz w:val="32"/>
          <w:szCs w:val="32"/>
        </w:rPr>
        <w:t>一.小微企业现状</w:t>
      </w:r>
    </w:p>
    <w:p w14:paraId="318AEE64">
      <w:pPr>
        <w:ind w:firstLine="640" w:firstLineChars="200"/>
        <w:rPr>
          <w:rFonts w:ascii="仿宋_GB2312" w:eastAsia="仿宋_GB2312"/>
          <w:sz w:val="32"/>
          <w:szCs w:val="32"/>
        </w:rPr>
      </w:pPr>
      <w:r>
        <w:rPr>
          <w:rFonts w:hint="eastAsia" w:ascii="仿宋_GB2312" w:eastAsia="仿宋_GB2312"/>
          <w:sz w:val="32"/>
          <w:szCs w:val="32"/>
        </w:rPr>
        <w:t>1.我旗登记注册的市场经营主体约有286.5万户，其中个体工商户209.95万户，农村合作组织1354家，私营企业2662家，这些信息表明，喀喇沁旗小微企业是个庞大且重要的部分。</w:t>
      </w:r>
    </w:p>
    <w:p w14:paraId="3A3DD72F">
      <w:pPr>
        <w:ind w:firstLine="640" w:firstLineChars="200"/>
        <w:rPr>
          <w:rFonts w:ascii="仿宋_GB2312" w:eastAsia="仿宋_GB2312"/>
          <w:sz w:val="32"/>
          <w:szCs w:val="32"/>
        </w:rPr>
      </w:pPr>
      <w:r>
        <w:rPr>
          <w:rFonts w:hint="eastAsia" w:ascii="仿宋_GB2312" w:eastAsia="仿宋_GB2312"/>
          <w:sz w:val="32"/>
          <w:szCs w:val="32"/>
        </w:rPr>
        <w:t>2.全旗共有绿色食品品牌49个，地理标志产品6个，有机产品一个，名优特产品6个，此外还有“赤诚风味”区域公共品牌，这些品牌展示了喀喇沁旗农业产品种植和加工方面的多样化和高质量标准化。</w:t>
      </w:r>
    </w:p>
    <w:p w14:paraId="59DD70FA">
      <w:pPr>
        <w:ind w:firstLine="640" w:firstLineChars="200"/>
        <w:rPr>
          <w:rFonts w:ascii="仿宋_GB2312" w:eastAsia="仿宋_GB2312"/>
          <w:sz w:val="32"/>
          <w:szCs w:val="32"/>
        </w:rPr>
      </w:pPr>
      <w:r>
        <w:rPr>
          <w:rFonts w:hint="eastAsia" w:ascii="仿宋_GB2312" w:eastAsia="仿宋_GB2312"/>
          <w:sz w:val="32"/>
          <w:szCs w:val="32"/>
        </w:rPr>
        <w:t>3.喀喇沁旗致力于打造乡村旅游品牌，规划建设了20个重点乡村旅游村，其中13个村已具备了接待能力，乡村旅游接待户达142家。直接从业人员945人，同时还推出了“舌尖上的喀喇沁”系列美食品牌。</w:t>
      </w:r>
    </w:p>
    <w:p w14:paraId="6D693015">
      <w:pPr>
        <w:ind w:firstLine="640" w:firstLineChars="200"/>
        <w:rPr>
          <w:rFonts w:ascii="仿宋_GB2312" w:eastAsia="仿宋_GB2312"/>
          <w:sz w:val="32"/>
          <w:szCs w:val="32"/>
        </w:rPr>
      </w:pPr>
      <w:r>
        <w:rPr>
          <w:rFonts w:hint="eastAsia" w:ascii="仿宋_GB2312" w:eastAsia="仿宋_GB2312"/>
          <w:sz w:val="32"/>
          <w:szCs w:val="32"/>
        </w:rPr>
        <w:t>综上所述，喀喇沁旗小微企业包含了喀喇沁旗发展的多个层面，并取得了显著成绩，而且政府在政策支持，优化营商环境，搭建平台等方面采取了积极的措施，为小微企业的成长和发展提供了有力保障，但是作为小微企业中的一些发展中的微小企业而言，还存在很多问题和困难有待解决。</w:t>
      </w:r>
    </w:p>
    <w:p w14:paraId="15620539">
      <w:pPr>
        <w:rPr>
          <w:rFonts w:ascii="黑体" w:hAnsi="黑体" w:eastAsia="黑体"/>
          <w:sz w:val="32"/>
          <w:szCs w:val="32"/>
        </w:rPr>
      </w:pPr>
      <w:r>
        <w:rPr>
          <w:rFonts w:hint="eastAsia" w:ascii="黑体" w:hAnsi="黑体" w:eastAsia="黑体"/>
          <w:sz w:val="32"/>
          <w:szCs w:val="32"/>
        </w:rPr>
        <w:t>二、问题</w:t>
      </w:r>
    </w:p>
    <w:p w14:paraId="21340D68">
      <w:pPr>
        <w:ind w:firstLine="640" w:firstLineChars="200"/>
        <w:rPr>
          <w:rFonts w:ascii="楷体_GB2312" w:eastAsia="楷体_GB2312"/>
          <w:sz w:val="32"/>
          <w:szCs w:val="32"/>
        </w:rPr>
      </w:pPr>
      <w:r>
        <w:rPr>
          <w:rFonts w:hint="eastAsia" w:ascii="楷体_GB2312" w:eastAsia="楷体_GB2312"/>
          <w:sz w:val="32"/>
          <w:szCs w:val="32"/>
        </w:rPr>
        <w:t>（一）存在于小微企业发展中的卡脖子问题，主要表现在资金短缺，融资困难，科技人才科学技术匮乏。</w:t>
      </w:r>
    </w:p>
    <w:p w14:paraId="02E9CC2D">
      <w:pPr>
        <w:ind w:firstLine="640" w:firstLineChars="200"/>
        <w:rPr>
          <w:rFonts w:ascii="仿宋_GB2312" w:eastAsia="仿宋_GB2312"/>
          <w:sz w:val="32"/>
          <w:szCs w:val="32"/>
        </w:rPr>
      </w:pPr>
      <w:r>
        <w:rPr>
          <w:rFonts w:hint="eastAsia" w:ascii="仿宋_GB2312" w:eastAsia="仿宋_GB2312"/>
          <w:sz w:val="32"/>
          <w:szCs w:val="32"/>
        </w:rPr>
        <w:t>1.很多小微企业在农村，都是通过多年奋斗发展起来的，当发展到一定程度，把现有的资源和资金基础都利用上后，由于资金短缺，融资困难等方面制约了产业的发展，虽然政府也为企业搭建了融资平台，但是由于各银行系统融资标准规范，门槛高，使一些企业融资望而却步。</w:t>
      </w:r>
    </w:p>
    <w:p w14:paraId="014610B8">
      <w:pPr>
        <w:ind w:firstLine="640" w:firstLineChars="200"/>
        <w:rPr>
          <w:rFonts w:ascii="仿宋_GB2312" w:eastAsia="仿宋_GB2312"/>
          <w:sz w:val="32"/>
          <w:szCs w:val="32"/>
        </w:rPr>
      </w:pPr>
      <w:r>
        <w:rPr>
          <w:rFonts w:hint="eastAsia" w:ascii="仿宋_GB2312" w:eastAsia="仿宋_GB2312"/>
          <w:sz w:val="32"/>
          <w:szCs w:val="32"/>
        </w:rPr>
        <w:t>2.由于很多小微企业发起于基层，大多以家庭式，为主体经营成员，经营成员科技含量低，经营不规范，人才缺乏，虽然政府积极组织农民培训考察学习，但高科技人才及技术还是很难把握。</w:t>
      </w:r>
    </w:p>
    <w:p w14:paraId="7C88EA49">
      <w:pPr>
        <w:ind w:firstLine="320" w:firstLineChars="100"/>
        <w:rPr>
          <w:rFonts w:ascii="楷体_GB2312" w:eastAsia="楷体_GB2312"/>
          <w:sz w:val="32"/>
          <w:szCs w:val="32"/>
        </w:rPr>
      </w:pPr>
      <w:r>
        <w:rPr>
          <w:rFonts w:hint="eastAsia" w:ascii="楷体_GB2312" w:eastAsia="楷体_GB2312"/>
          <w:sz w:val="32"/>
          <w:szCs w:val="32"/>
        </w:rPr>
        <w:t>（二）思想意识薄弱，虽然有丰富的资源，却不能充分利用与发挥。</w:t>
      </w:r>
    </w:p>
    <w:p w14:paraId="5B41B3D0">
      <w:pPr>
        <w:ind w:firstLine="640" w:firstLineChars="200"/>
        <w:rPr>
          <w:rFonts w:ascii="仿宋_GB2312" w:eastAsia="仿宋_GB2312"/>
          <w:sz w:val="32"/>
          <w:szCs w:val="32"/>
        </w:rPr>
      </w:pPr>
      <w:r>
        <w:rPr>
          <w:rFonts w:hint="eastAsia" w:ascii="仿宋_GB2312" w:eastAsia="仿宋_GB2312"/>
          <w:sz w:val="32"/>
          <w:szCs w:val="32"/>
        </w:rPr>
        <w:t>1.很多小微企业小农意识浓厚，不能积极接受新的发展理念，思想守旧，致使发展缓慢。</w:t>
      </w:r>
    </w:p>
    <w:p w14:paraId="16985DE9">
      <w:pPr>
        <w:ind w:firstLine="640" w:firstLineChars="200"/>
        <w:rPr>
          <w:rFonts w:ascii="仿宋_GB2312" w:eastAsia="仿宋_GB2312"/>
          <w:sz w:val="32"/>
          <w:szCs w:val="32"/>
        </w:rPr>
      </w:pPr>
      <w:r>
        <w:rPr>
          <w:rFonts w:hint="eastAsia" w:ascii="仿宋_GB2312" w:eastAsia="仿宋_GB2312"/>
          <w:sz w:val="32"/>
          <w:szCs w:val="32"/>
        </w:rPr>
        <w:t>2.虽然政府大力推广新型经营主体，电子商务，现代农业，高新产业等全方位发展，但由于企业能力有限，虽积极响应，但成果不显著。</w:t>
      </w:r>
    </w:p>
    <w:p w14:paraId="665A4FFF">
      <w:pPr>
        <w:ind w:firstLine="640" w:firstLineChars="200"/>
        <w:rPr>
          <w:rFonts w:ascii="楷体_GB2312" w:eastAsia="楷体_GB2312"/>
          <w:sz w:val="32"/>
          <w:szCs w:val="32"/>
        </w:rPr>
      </w:pPr>
      <w:r>
        <w:rPr>
          <w:rFonts w:hint="eastAsia" w:ascii="楷体_GB2312" w:eastAsia="楷体_GB2312"/>
          <w:sz w:val="32"/>
          <w:szCs w:val="32"/>
        </w:rPr>
        <w:t>（三）虽然我旗有很多优质品牌优秀企业，但是比较分散，同品类分散发展，各抒己见，互相抵触，使品牌及发展方向不集中。</w:t>
      </w:r>
    </w:p>
    <w:p w14:paraId="0B5A8B43">
      <w:pPr>
        <w:ind w:firstLine="640" w:firstLineChars="200"/>
        <w:rPr>
          <w:rFonts w:ascii="仿宋_GB2312" w:eastAsia="仿宋_GB2312"/>
          <w:sz w:val="32"/>
          <w:szCs w:val="32"/>
        </w:rPr>
      </w:pPr>
      <w:r>
        <w:rPr>
          <w:rFonts w:hint="eastAsia" w:ascii="楷体_GB2312" w:eastAsia="楷体_GB2312"/>
          <w:sz w:val="32"/>
          <w:szCs w:val="32"/>
        </w:rPr>
        <w:t>（四）很多小微企业的产品消售不畅通。</w:t>
      </w:r>
      <w:r>
        <w:rPr>
          <w:rFonts w:hint="eastAsia" w:ascii="仿宋_GB2312" w:eastAsia="仿宋_GB2312"/>
          <w:sz w:val="32"/>
          <w:szCs w:val="32"/>
        </w:rPr>
        <w:t>价格上不去，由于产品的包装不规范，产品等级分类不明确，降低了产品的市场价值。另外，小微企业包含了各行各业，所以在运输物流等方面很难整合，造成了运输成本的提高。</w:t>
      </w:r>
    </w:p>
    <w:p w14:paraId="49A10E7E">
      <w:pPr>
        <w:rPr>
          <w:rFonts w:ascii="仿宋_GB2312" w:eastAsia="仿宋_GB2312"/>
          <w:sz w:val="32"/>
          <w:szCs w:val="32"/>
        </w:rPr>
      </w:pPr>
      <w:r>
        <w:rPr>
          <w:rFonts w:hint="eastAsia" w:ascii="仿宋_GB2312" w:eastAsia="仿宋_GB2312"/>
          <w:sz w:val="32"/>
          <w:szCs w:val="32"/>
        </w:rPr>
        <w:t>建议解决以上问题的几点想法</w:t>
      </w:r>
    </w:p>
    <w:p w14:paraId="10B3D95C">
      <w:pPr>
        <w:ind w:firstLine="640" w:firstLineChars="200"/>
        <w:rPr>
          <w:rFonts w:ascii="黑体" w:hAnsi="黑体" w:eastAsia="黑体"/>
          <w:sz w:val="32"/>
          <w:szCs w:val="32"/>
        </w:rPr>
      </w:pPr>
      <w:r>
        <w:rPr>
          <w:rFonts w:hint="eastAsia" w:ascii="黑体" w:hAnsi="黑体" w:eastAsia="黑体"/>
          <w:sz w:val="32"/>
          <w:szCs w:val="32"/>
        </w:rPr>
        <w:t>三、建议</w:t>
      </w:r>
    </w:p>
    <w:p w14:paraId="322B3684">
      <w:pPr>
        <w:ind w:firstLine="640" w:firstLineChars="200"/>
        <w:rPr>
          <w:rFonts w:ascii="楷体_GB2312" w:eastAsia="楷体_GB2312"/>
          <w:sz w:val="32"/>
          <w:szCs w:val="32"/>
        </w:rPr>
      </w:pPr>
      <w:r>
        <w:rPr>
          <w:rFonts w:hint="eastAsia" w:ascii="楷体_GB2312" w:eastAsia="楷体_GB2312"/>
          <w:sz w:val="32"/>
          <w:szCs w:val="32"/>
        </w:rPr>
        <w:t>（一）对我旗的小微企业按行业不同规范规类，一村一品一镇一品或一行业一品等重点支持。</w:t>
      </w:r>
    </w:p>
    <w:p w14:paraId="612DEFAB">
      <w:pPr>
        <w:ind w:firstLine="640" w:firstLineChars="200"/>
        <w:rPr>
          <w:rFonts w:ascii="仿宋_GB2312" w:eastAsia="仿宋_GB2312"/>
          <w:sz w:val="32"/>
          <w:szCs w:val="32"/>
        </w:rPr>
      </w:pPr>
      <w:r>
        <w:rPr>
          <w:rFonts w:hint="eastAsia" w:ascii="仿宋_GB2312" w:eastAsia="仿宋_GB2312"/>
          <w:sz w:val="32"/>
          <w:szCs w:val="32"/>
        </w:rPr>
        <w:t>1.按企业的经营范围规类，比如形成，林业经济，蔬菜种植，粮食加工等等几个大品类，集中管理，以行业协会或新的联合体组成新的经营主体共谋发展。</w:t>
      </w:r>
    </w:p>
    <w:p w14:paraId="2C2484C4">
      <w:pPr>
        <w:ind w:firstLine="640" w:firstLineChars="200"/>
        <w:rPr>
          <w:rFonts w:ascii="仿宋_GB2312" w:eastAsia="仿宋_GB2312"/>
          <w:sz w:val="32"/>
          <w:szCs w:val="32"/>
        </w:rPr>
      </w:pPr>
      <w:r>
        <w:rPr>
          <w:rFonts w:hint="eastAsia" w:ascii="仿宋_GB2312" w:eastAsia="仿宋_GB2312"/>
          <w:sz w:val="32"/>
          <w:szCs w:val="32"/>
        </w:rPr>
        <w:t>2.按企业的行业规范形成种植加工销售技术指导等几大行业，使这些行业融合发展，出台各个行业的管理办法，规范行业行为共同发展。</w:t>
      </w:r>
    </w:p>
    <w:p w14:paraId="1ED5BB29">
      <w:pPr>
        <w:ind w:firstLine="640" w:firstLineChars="200"/>
        <w:rPr>
          <w:rFonts w:ascii="楷体_GB2312" w:eastAsia="楷体_GB2312"/>
          <w:sz w:val="32"/>
          <w:szCs w:val="32"/>
        </w:rPr>
      </w:pPr>
      <w:r>
        <w:rPr>
          <w:rFonts w:hint="eastAsia" w:ascii="楷体_GB2312" w:eastAsia="楷体_GB2312"/>
          <w:sz w:val="32"/>
          <w:szCs w:val="32"/>
        </w:rPr>
        <w:t>（二）在政府协调的基础上解决融资难的问题</w:t>
      </w:r>
    </w:p>
    <w:p w14:paraId="64B15655">
      <w:pPr>
        <w:ind w:firstLine="640" w:firstLineChars="200"/>
        <w:rPr>
          <w:rFonts w:ascii="仿宋_GB2312" w:eastAsia="仿宋_GB2312"/>
          <w:sz w:val="32"/>
          <w:szCs w:val="32"/>
        </w:rPr>
      </w:pPr>
      <w:r>
        <w:rPr>
          <w:rFonts w:hint="eastAsia" w:ascii="仿宋_GB2312" w:eastAsia="仿宋_GB2312"/>
          <w:sz w:val="32"/>
          <w:szCs w:val="32"/>
        </w:rPr>
        <w:t>1.指导企业加强规范管理，诚信守规经营，做到销售有记录，回款有流水，产品有品质，生产有计划等规范经营。</w:t>
      </w:r>
    </w:p>
    <w:p w14:paraId="4E95F367">
      <w:pPr>
        <w:ind w:firstLine="640" w:firstLineChars="200"/>
        <w:rPr>
          <w:rFonts w:ascii="仿宋_GB2312" w:eastAsia="仿宋_GB2312"/>
          <w:sz w:val="32"/>
          <w:szCs w:val="32"/>
        </w:rPr>
      </w:pPr>
      <w:r>
        <w:rPr>
          <w:rFonts w:hint="eastAsia" w:ascii="仿宋_GB2312" w:eastAsia="仿宋_GB2312"/>
          <w:sz w:val="32"/>
          <w:szCs w:val="32"/>
        </w:rPr>
        <w:t>2.协调金融部门对有条件的小微企业，降低准入门槛，由政府考核协调融资。</w:t>
      </w:r>
    </w:p>
    <w:p w14:paraId="3AF3BE8E">
      <w:pPr>
        <w:ind w:firstLine="640" w:firstLineChars="200"/>
        <w:rPr>
          <w:rFonts w:ascii="仿宋_GB2312" w:eastAsia="仿宋_GB2312"/>
          <w:sz w:val="32"/>
          <w:szCs w:val="32"/>
        </w:rPr>
      </w:pPr>
      <w:r>
        <w:rPr>
          <w:rFonts w:hint="eastAsia" w:ascii="仿宋_GB2312" w:eastAsia="仿宋_GB2312"/>
          <w:sz w:val="32"/>
          <w:szCs w:val="32"/>
        </w:rPr>
        <w:t>3.协调各个支农平台及电商平台，缩短结款时间，使企业资金回笼快，提高资金周转率。</w:t>
      </w:r>
    </w:p>
    <w:p w14:paraId="05951314">
      <w:pPr>
        <w:ind w:firstLine="640" w:firstLineChars="200"/>
        <w:rPr>
          <w:rFonts w:ascii="仿宋_GB2312" w:eastAsia="仿宋_GB2312"/>
          <w:sz w:val="32"/>
          <w:szCs w:val="32"/>
        </w:rPr>
      </w:pPr>
      <w:r>
        <w:rPr>
          <w:rFonts w:hint="eastAsia" w:ascii="楷体_GB2312" w:eastAsia="楷体_GB2312"/>
          <w:sz w:val="32"/>
          <w:szCs w:val="32"/>
        </w:rPr>
        <w:t>（三）政府在政策支持上。</w:t>
      </w:r>
      <w:r>
        <w:rPr>
          <w:rFonts w:hint="eastAsia" w:ascii="仿宋_GB2312" w:eastAsia="仿宋_GB2312"/>
          <w:sz w:val="32"/>
          <w:szCs w:val="32"/>
        </w:rPr>
        <w:t>分不同行业有针对性的政策支持，并作出长远规划，做到支持一个成功一个，从而达到以点带面共同发展。</w:t>
      </w:r>
    </w:p>
    <w:p w14:paraId="2CA075DF">
      <w:pPr>
        <w:ind w:firstLine="640" w:firstLineChars="200"/>
        <w:rPr>
          <w:rFonts w:ascii="仿宋_GB2312" w:eastAsia="仿宋_GB2312"/>
          <w:sz w:val="32"/>
          <w:szCs w:val="32"/>
        </w:rPr>
      </w:pPr>
      <w:r>
        <w:rPr>
          <w:rFonts w:hint="eastAsia" w:ascii="楷体_GB2312" w:eastAsia="楷体_GB2312"/>
          <w:sz w:val="32"/>
          <w:szCs w:val="32"/>
        </w:rPr>
        <w:t>（四）引导企业组成联合体。</w:t>
      </w:r>
      <w:r>
        <w:rPr>
          <w:rFonts w:hint="eastAsia" w:ascii="仿宋_GB2312" w:eastAsia="仿宋_GB2312"/>
          <w:sz w:val="32"/>
          <w:szCs w:val="32"/>
        </w:rPr>
        <w:t>建立统一的市场经营模式，以及统一的经营标准，降低企业成本，比如在快递运输等方面，按照不同行业，形成统一的邮购发货仓库，统一集中邮购或发货，降低邮购和运输中的成本。使企业创造更高的经济效益。</w:t>
      </w:r>
    </w:p>
    <w:p w14:paraId="341D56EE">
      <w:pPr>
        <w:ind w:firstLine="600" w:firstLineChars="200"/>
        <w:rPr>
          <w:sz w:val="30"/>
          <w:szCs w:val="30"/>
        </w:rPr>
      </w:pPr>
    </w:p>
    <w:p w14:paraId="747107C0">
      <w:pPr>
        <w:ind w:firstLine="600" w:firstLineChars="200"/>
        <w:rPr>
          <w:sz w:val="30"/>
          <w:szCs w:val="30"/>
        </w:rPr>
      </w:pPr>
      <w:r>
        <w:rPr>
          <w:rFonts w:hint="eastAsia"/>
          <w:sz w:val="30"/>
          <w:szCs w:val="30"/>
        </w:rPr>
        <w:t xml:space="preserve"> </w:t>
      </w:r>
    </w:p>
    <w:p w14:paraId="265A9B1C">
      <w:pPr>
        <w:ind w:firstLine="600" w:firstLineChars="200"/>
        <w:rPr>
          <w:sz w:val="30"/>
          <w:szCs w:val="30"/>
        </w:rPr>
      </w:pPr>
      <w:r>
        <w:rPr>
          <w:rFonts w:hint="eastAsia"/>
          <w:sz w:val="30"/>
          <w:szCs w:val="30"/>
        </w:rPr>
        <w:t xml:space="preserve">                                   </w:t>
      </w:r>
    </w:p>
    <w:p w14:paraId="2CCB09C7">
      <w:pPr>
        <w:rPr>
          <w:rFonts w:ascii="楷体_GB2312" w:hAnsi="楷体_GB2312" w:eastAsia="楷体_GB2312" w:cs="楷体_GB2312"/>
          <w:sz w:val="32"/>
          <w:szCs w:val="32"/>
        </w:rPr>
      </w:pPr>
    </w:p>
    <w:p w14:paraId="0089CA1D">
      <w:pPr>
        <w:rPr>
          <w:rFonts w:ascii="楷体_GB2312" w:hAnsi="楷体_GB2312" w:eastAsia="楷体_GB2312" w:cs="楷体_GB2312"/>
          <w:sz w:val="32"/>
          <w:szCs w:val="32"/>
        </w:rPr>
      </w:pPr>
    </w:p>
    <w:p w14:paraId="7A5BA21B">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提案编号:014</w:t>
      </w:r>
    </w:p>
    <w:p w14:paraId="04E7C28E">
      <w:pPr>
        <w:rPr>
          <w:rFonts w:ascii="楷体_GB2312" w:hAnsi="方正小标宋简体" w:eastAsia="楷体_GB2312" w:cs="方正小标宋简体"/>
          <w:sz w:val="32"/>
          <w:szCs w:val="32"/>
        </w:rPr>
      </w:pPr>
      <w:r>
        <w:rPr>
          <w:rFonts w:hint="eastAsia" w:ascii="楷体_GB2312" w:hAnsi="楷体_GB2312" w:eastAsia="楷体_GB2312" w:cs="楷体_GB2312"/>
          <w:sz w:val="32"/>
          <w:szCs w:val="32"/>
        </w:rPr>
        <w:t>提案名称:</w:t>
      </w:r>
      <w:r>
        <w:rPr>
          <w:rFonts w:hint="eastAsia" w:ascii="方正小标宋简体" w:hAnsi="方正小标宋简体" w:eastAsia="方正小标宋简体" w:cs="方正小标宋简体"/>
          <w:sz w:val="44"/>
          <w:szCs w:val="44"/>
        </w:rPr>
        <w:t xml:space="preserve"> </w:t>
      </w:r>
      <w:r>
        <w:rPr>
          <w:rFonts w:hint="eastAsia" w:ascii="楷体_GB2312" w:hAnsi="方正小标宋简体" w:eastAsia="楷体_GB2312" w:cs="方正小标宋简体"/>
          <w:sz w:val="32"/>
          <w:szCs w:val="32"/>
        </w:rPr>
        <w:t>关于加大绿色食品扶持政策的提案</w:t>
      </w:r>
    </w:p>
    <w:p w14:paraId="63D88CAC">
      <w:pPr>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人:尚宇昕</w:t>
      </w:r>
    </w:p>
    <w:p w14:paraId="41672DEB">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联系方式：13848368512</w:t>
      </w:r>
    </w:p>
    <w:p w14:paraId="25C34B31">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别:农牧业</w:t>
      </w:r>
    </w:p>
    <w:p w14:paraId="7AF35CE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关于加大绿色食品扶持政策的提案</w:t>
      </w:r>
    </w:p>
    <w:p w14:paraId="62351F01">
      <w:pPr>
        <w:spacing w:line="560" w:lineRule="exact"/>
        <w:rPr>
          <w:rFonts w:ascii="仿宋_GB2312" w:hAnsi="仿宋_GB2312" w:eastAsia="仿宋_GB2312" w:cs="仿宋_GB2312"/>
          <w:sz w:val="32"/>
          <w:szCs w:val="32"/>
        </w:rPr>
      </w:pPr>
    </w:p>
    <w:p w14:paraId="413F15AB">
      <w:pPr>
        <w:spacing w:line="560" w:lineRule="exact"/>
        <w:ind w:firstLine="640" w:firstLineChars="200"/>
        <w:rPr>
          <w:rFonts w:ascii="黑体" w:hAnsi="黑体" w:eastAsia="黑体" w:cs="仿宋_GB2312"/>
          <w:sz w:val="32"/>
          <w:szCs w:val="32"/>
        </w:rPr>
      </w:pPr>
      <w:r>
        <w:rPr>
          <w:rFonts w:ascii="黑体" w:hAnsi="黑体" w:eastAsia="黑体" w:cs="仿宋_GB2312"/>
          <w:sz w:val="32"/>
          <w:szCs w:val="32"/>
        </w:rPr>
        <w:t>一</w:t>
      </w:r>
      <w:r>
        <w:rPr>
          <w:rFonts w:hint="eastAsia" w:ascii="黑体" w:hAnsi="黑体" w:eastAsia="黑体" w:cs="仿宋_GB2312"/>
          <w:sz w:val="32"/>
          <w:szCs w:val="32"/>
        </w:rPr>
        <w:t>、基本情况</w:t>
      </w:r>
    </w:p>
    <w:p w14:paraId="6634C10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绿色食品，是指产自优良生态环境、按照绿色食品标准生产、实行全程质量控制并获得绿色食品标志使用权的安全、优质食用农产品及相关产品。近年来，随着人们生活水平的提高和健康意识的增强，绿色食品越来越受到消费者的青睐。</w:t>
      </w:r>
    </w:p>
    <w:p w14:paraId="6F7EB98C">
      <w:pPr>
        <w:spacing w:line="56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二、存在问题</w:t>
      </w:r>
    </w:p>
    <w:p w14:paraId="4B4E6F0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然而，当前绿色食品产业发展仍面临诸多问题，</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生产成本高。绿色食品生产要求严格，产品或产品原料产地环境需符合绿色食品产地环境质量标准，农药、肥料、饲料、兽药等投入品使用均需要符合绿色食品投入品使用准则，生产周期长、投入大，导致生产成本远高于普通食品，制约了生产者的积极性。</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政策支持力度不够。现有政策对生产环节、品牌建设、市场营销、消费者教育等方面的支持相对不足。</w:t>
      </w:r>
    </w:p>
    <w:p w14:paraId="1F74F665">
      <w:pPr>
        <w:spacing w:line="56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三、建议</w:t>
      </w:r>
    </w:p>
    <w:p w14:paraId="03EB2C7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此，建议加大绿色食品扶持政策力度。给予绿色食品生产者更高的补贴，鼓励生产者采用先进的环保技术和生产方式，提高生产效率和产品质量，有效降低绿色食品生产成本，提高生产者的积极性，扩大绿色食品生产规模。</w:t>
      </w:r>
    </w:p>
    <w:p w14:paraId="7530D191">
      <w:pPr>
        <w:rPr>
          <w:rFonts w:ascii="楷体_GB2312" w:hAnsi="楷体_GB2312" w:eastAsia="楷体_GB2312" w:cs="楷体_GB2312"/>
          <w:sz w:val="32"/>
          <w:szCs w:val="32"/>
        </w:rPr>
      </w:pPr>
    </w:p>
    <w:p w14:paraId="774542BB">
      <w:pPr>
        <w:rPr>
          <w:rFonts w:ascii="楷体_GB2312" w:hAnsi="楷体_GB2312" w:eastAsia="楷体_GB2312" w:cs="楷体_GB2312"/>
          <w:sz w:val="32"/>
          <w:szCs w:val="32"/>
        </w:rPr>
      </w:pPr>
    </w:p>
    <w:p w14:paraId="6B5E5136">
      <w:pPr>
        <w:rPr>
          <w:rFonts w:ascii="楷体_GB2312" w:hAnsi="楷体_GB2312" w:eastAsia="楷体_GB2312" w:cs="楷体_GB2312"/>
          <w:sz w:val="32"/>
          <w:szCs w:val="32"/>
        </w:rPr>
      </w:pPr>
    </w:p>
    <w:p w14:paraId="2CDBAA41">
      <w:pPr>
        <w:rPr>
          <w:rFonts w:ascii="楷体_GB2312" w:hAnsi="楷体_GB2312" w:eastAsia="楷体_GB2312" w:cs="楷体_GB2312"/>
          <w:sz w:val="32"/>
          <w:szCs w:val="32"/>
        </w:rPr>
      </w:pPr>
    </w:p>
    <w:p w14:paraId="6F923539">
      <w:pPr>
        <w:rPr>
          <w:rFonts w:ascii="楷体_GB2312" w:hAnsi="楷体_GB2312" w:eastAsia="楷体_GB2312" w:cs="楷体_GB2312"/>
          <w:sz w:val="32"/>
          <w:szCs w:val="32"/>
        </w:rPr>
      </w:pPr>
    </w:p>
    <w:p w14:paraId="6511EC42">
      <w:pPr>
        <w:rPr>
          <w:rFonts w:ascii="楷体_GB2312" w:hAnsi="楷体_GB2312" w:eastAsia="楷体_GB2312" w:cs="楷体_GB2312"/>
          <w:sz w:val="32"/>
          <w:szCs w:val="32"/>
        </w:rPr>
      </w:pPr>
    </w:p>
    <w:p w14:paraId="585D68F4">
      <w:pPr>
        <w:rPr>
          <w:rFonts w:ascii="楷体_GB2312" w:hAnsi="楷体_GB2312" w:eastAsia="楷体_GB2312" w:cs="楷体_GB2312"/>
          <w:sz w:val="32"/>
          <w:szCs w:val="32"/>
        </w:rPr>
      </w:pPr>
    </w:p>
    <w:p w14:paraId="03639ABC">
      <w:pPr>
        <w:rPr>
          <w:rFonts w:ascii="楷体_GB2312" w:hAnsi="楷体_GB2312" w:eastAsia="楷体_GB2312" w:cs="楷体_GB2312"/>
          <w:sz w:val="32"/>
          <w:szCs w:val="32"/>
        </w:rPr>
      </w:pPr>
    </w:p>
    <w:p w14:paraId="40C6B5F2">
      <w:pPr>
        <w:rPr>
          <w:rFonts w:ascii="楷体_GB2312" w:hAnsi="楷体_GB2312" w:eastAsia="楷体_GB2312" w:cs="楷体_GB2312"/>
          <w:sz w:val="32"/>
          <w:szCs w:val="32"/>
        </w:rPr>
      </w:pPr>
    </w:p>
    <w:p w14:paraId="580C283D">
      <w:pPr>
        <w:rPr>
          <w:rFonts w:ascii="楷体_GB2312" w:hAnsi="楷体_GB2312" w:eastAsia="楷体_GB2312" w:cs="楷体_GB2312"/>
          <w:sz w:val="32"/>
          <w:szCs w:val="32"/>
        </w:rPr>
      </w:pPr>
    </w:p>
    <w:p w14:paraId="07608928">
      <w:pPr>
        <w:rPr>
          <w:rFonts w:ascii="楷体_GB2312" w:hAnsi="楷体_GB2312" w:eastAsia="楷体_GB2312" w:cs="楷体_GB2312"/>
          <w:sz w:val="32"/>
          <w:szCs w:val="32"/>
        </w:rPr>
      </w:pPr>
    </w:p>
    <w:p w14:paraId="551824DE">
      <w:pPr>
        <w:rPr>
          <w:rFonts w:ascii="楷体_GB2312" w:hAnsi="楷体_GB2312" w:eastAsia="楷体_GB2312" w:cs="楷体_GB2312"/>
          <w:sz w:val="32"/>
          <w:szCs w:val="32"/>
        </w:rPr>
      </w:pPr>
    </w:p>
    <w:p w14:paraId="48E2C136">
      <w:pPr>
        <w:rPr>
          <w:rFonts w:ascii="楷体_GB2312" w:hAnsi="楷体_GB2312" w:eastAsia="楷体_GB2312" w:cs="楷体_GB2312"/>
          <w:sz w:val="32"/>
          <w:szCs w:val="32"/>
        </w:rPr>
      </w:pPr>
    </w:p>
    <w:p w14:paraId="6425155B">
      <w:pPr>
        <w:rPr>
          <w:rFonts w:ascii="楷体_GB2312" w:hAnsi="楷体_GB2312" w:eastAsia="楷体_GB2312" w:cs="楷体_GB2312"/>
          <w:sz w:val="32"/>
          <w:szCs w:val="32"/>
        </w:rPr>
      </w:pPr>
    </w:p>
    <w:p w14:paraId="72C48078">
      <w:pPr>
        <w:rPr>
          <w:rFonts w:ascii="楷体_GB2312" w:hAnsi="楷体_GB2312" w:eastAsia="楷体_GB2312" w:cs="楷体_GB2312"/>
          <w:sz w:val="32"/>
          <w:szCs w:val="32"/>
        </w:rPr>
      </w:pPr>
    </w:p>
    <w:p w14:paraId="70BC34F7">
      <w:pPr>
        <w:rPr>
          <w:rFonts w:ascii="楷体_GB2312" w:hAnsi="楷体_GB2312" w:eastAsia="楷体_GB2312" w:cs="楷体_GB2312"/>
          <w:sz w:val="32"/>
          <w:szCs w:val="32"/>
        </w:rPr>
      </w:pPr>
    </w:p>
    <w:p w14:paraId="7AAFCE83">
      <w:pPr>
        <w:rPr>
          <w:rFonts w:ascii="楷体_GB2312" w:hAnsi="楷体_GB2312" w:eastAsia="楷体_GB2312" w:cs="楷体_GB2312"/>
          <w:sz w:val="32"/>
          <w:szCs w:val="32"/>
        </w:rPr>
      </w:pPr>
    </w:p>
    <w:p w14:paraId="6A30DBB4">
      <w:pPr>
        <w:rPr>
          <w:rFonts w:ascii="楷体_GB2312" w:hAnsi="楷体_GB2312" w:eastAsia="楷体_GB2312" w:cs="楷体_GB2312"/>
          <w:sz w:val="32"/>
          <w:szCs w:val="32"/>
        </w:rPr>
      </w:pPr>
    </w:p>
    <w:p w14:paraId="7D1F6B96">
      <w:pPr>
        <w:rPr>
          <w:rFonts w:ascii="楷体_GB2312" w:hAnsi="楷体_GB2312" w:eastAsia="楷体_GB2312" w:cs="楷体_GB2312"/>
          <w:sz w:val="32"/>
          <w:szCs w:val="32"/>
        </w:rPr>
      </w:pPr>
    </w:p>
    <w:p w14:paraId="2E60E4C1">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提案编号:015</w:t>
      </w:r>
    </w:p>
    <w:p w14:paraId="144AF9FA">
      <w:pPr>
        <w:spacing w:line="360" w:lineRule="auto"/>
        <w:ind w:left="1600" w:hanging="1600" w:hangingChars="500"/>
        <w:jc w:val="left"/>
        <w:rPr>
          <w:rFonts w:ascii="楷体_GB2312" w:hAnsi="方正公文小标宋" w:eastAsia="楷体_GB2312" w:cs="方正公文小标宋"/>
          <w:sz w:val="32"/>
          <w:szCs w:val="32"/>
        </w:rPr>
      </w:pPr>
      <w:r>
        <w:rPr>
          <w:rFonts w:hint="eastAsia" w:ascii="楷体_GB2312" w:hAnsi="楷体_GB2312" w:eastAsia="楷体_GB2312" w:cs="楷体_GB2312"/>
          <w:sz w:val="32"/>
          <w:szCs w:val="32"/>
        </w:rPr>
        <w:t>提案名称:</w:t>
      </w:r>
      <w:r>
        <w:rPr>
          <w:rFonts w:hint="eastAsia" w:ascii="方正小标宋简体" w:hAnsi="方正公文小标宋" w:eastAsia="方正小标宋简体" w:cs="方正公文小标宋"/>
          <w:sz w:val="44"/>
          <w:szCs w:val="44"/>
        </w:rPr>
        <w:t xml:space="preserve"> </w:t>
      </w:r>
      <w:r>
        <w:rPr>
          <w:rFonts w:hint="eastAsia" w:ascii="楷体_GB2312" w:hAnsi="方正公文小标宋" w:eastAsia="楷体_GB2312" w:cs="方正公文小标宋"/>
          <w:sz w:val="32"/>
          <w:szCs w:val="32"/>
        </w:rPr>
        <w:t>关于加快构建现代化中蒙药材全产业链体系的提案</w:t>
      </w:r>
    </w:p>
    <w:p w14:paraId="5D71DB41">
      <w:pPr>
        <w:rPr>
          <w:rFonts w:ascii="楷体_GB2312" w:hAnsi="楷体" w:eastAsia="楷体_GB2312" w:cs="仿宋_GB2312"/>
          <w:bCs/>
          <w:color w:val="000000"/>
          <w:spacing w:val="-17"/>
          <w:sz w:val="32"/>
          <w:szCs w:val="32"/>
        </w:rPr>
      </w:pPr>
      <w:r>
        <w:rPr>
          <w:rFonts w:hint="eastAsia" w:ascii="楷体_GB2312" w:hAnsi="楷体_GB2312" w:eastAsia="楷体_GB2312" w:cs="楷体_GB2312"/>
          <w:sz w:val="32"/>
          <w:szCs w:val="32"/>
        </w:rPr>
        <w:t>提 案 人:李鹏伟</w:t>
      </w:r>
      <w:r>
        <w:rPr>
          <w:rFonts w:hint="eastAsia" w:ascii="楷体_GB2312" w:hAnsi="楷体" w:eastAsia="楷体_GB2312" w:cs="仿宋_GB2312"/>
          <w:bCs/>
          <w:color w:val="000000"/>
          <w:spacing w:val="-17"/>
          <w:sz w:val="32"/>
          <w:szCs w:val="32"/>
        </w:rPr>
        <w:t xml:space="preserve"> </w:t>
      </w:r>
    </w:p>
    <w:p w14:paraId="71321471">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w:t>
      </w:r>
      <w:r>
        <w:rPr>
          <w:rFonts w:ascii="楷体_GB2312" w:hAnsi="楷体_GB2312" w:eastAsia="楷体_GB2312" w:cs="楷体_GB2312"/>
          <w:sz w:val="32"/>
          <w:szCs w:val="32"/>
        </w:rPr>
        <w:t>13734890095</w:t>
      </w:r>
    </w:p>
    <w:p w14:paraId="66DDC8FD">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w:t>
      </w:r>
      <w:r>
        <w:rPr>
          <w:rFonts w:hint="eastAsia" w:ascii="楷体_GB2312" w:hAnsi="楷体" w:eastAsia="楷体_GB2312" w:cs="仿宋_GB2312"/>
          <w:bCs/>
          <w:color w:val="000000"/>
          <w:spacing w:val="-17"/>
          <w:sz w:val="32"/>
          <w:szCs w:val="32"/>
        </w:rPr>
        <w:t xml:space="preserve"> 经济企业</w:t>
      </w:r>
    </w:p>
    <w:p w14:paraId="4078D707">
      <w:pPr>
        <w:spacing w:line="360" w:lineRule="auto"/>
        <w:jc w:val="center"/>
        <w:rPr>
          <w:rFonts w:ascii="方正小标宋简体" w:hAnsi="方正公文小标宋" w:eastAsia="方正小标宋简体" w:cs="方正公文小标宋"/>
          <w:sz w:val="44"/>
          <w:szCs w:val="44"/>
        </w:rPr>
      </w:pPr>
      <w:r>
        <w:rPr>
          <w:rFonts w:hint="eastAsia" w:ascii="方正小标宋简体" w:hAnsi="方正公文小标宋" w:eastAsia="方正小标宋简体" w:cs="方正公文小标宋"/>
          <w:sz w:val="44"/>
          <w:szCs w:val="44"/>
        </w:rPr>
        <w:t>关于加快构建现代化中蒙药材全产业链  体系的提案</w:t>
      </w:r>
    </w:p>
    <w:p w14:paraId="3F6069D6">
      <w:pPr>
        <w:spacing w:line="360" w:lineRule="auto"/>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中蒙药产业涉及医疗、农业、工业和流通等领域，产业链长，加快中蒙药产业发展，对优化产业结构、带动区域经济、助力乡村振兴、保护生态环境等具有重要意义。</w:t>
      </w:r>
    </w:p>
    <w:p w14:paraId="1EDE654A">
      <w:pPr>
        <w:spacing w:line="360" w:lineRule="auto"/>
        <w:ind w:firstLine="643" w:firstLineChars="200"/>
        <w:rPr>
          <w:rFonts w:ascii="黑体" w:hAnsi="黑体" w:eastAsia="黑体"/>
          <w:b/>
          <w:color w:val="000000"/>
          <w:sz w:val="32"/>
          <w:szCs w:val="32"/>
        </w:rPr>
      </w:pPr>
      <w:r>
        <w:rPr>
          <w:rFonts w:hint="eastAsia" w:ascii="黑体" w:hAnsi="黑体" w:eastAsia="黑体"/>
          <w:b/>
          <w:color w:val="000000"/>
          <w:sz w:val="32"/>
          <w:szCs w:val="32"/>
        </w:rPr>
        <w:t>一、产业发展现状与存在的问题</w:t>
      </w:r>
    </w:p>
    <w:p w14:paraId="5539CEFD">
      <w:pPr>
        <w:spacing w:line="360" w:lineRule="auto"/>
        <w:ind w:firstLine="640" w:firstLineChars="200"/>
        <w:rPr>
          <w:rFonts w:ascii="仿宋_GB2312" w:hAnsi="仿宋" w:eastAsia="仿宋_GB2312" w:cs="仿宋"/>
          <w:bCs/>
          <w:color w:val="000000"/>
          <w:sz w:val="32"/>
          <w:szCs w:val="32"/>
        </w:rPr>
      </w:pPr>
      <w:r>
        <w:rPr>
          <w:rFonts w:hint="eastAsia" w:ascii="仿宋_GB2312" w:hAnsi="仿宋" w:eastAsia="仿宋_GB2312" w:cs="仿宋"/>
          <w:bCs/>
          <w:color w:val="000000"/>
          <w:sz w:val="32"/>
          <w:szCs w:val="32"/>
        </w:rPr>
        <w:t>我市中蒙药产业经过多年的发展，已形成了涵盖中药材、中药饮片、中蒙成药、大健康食品的相对完整产业体系。但在高质量发展的道路上也存在着一些问题.</w:t>
      </w:r>
    </w:p>
    <w:p w14:paraId="3501C587">
      <w:pPr>
        <w:spacing w:line="360" w:lineRule="auto"/>
        <w:ind w:firstLine="640" w:firstLineChars="200"/>
        <w:rPr>
          <w:rFonts w:ascii="仿宋_GB2312" w:hAnsi="仿宋" w:eastAsia="仿宋_GB2312" w:cs="仿宋"/>
          <w:bCs/>
          <w:color w:val="000000"/>
          <w:sz w:val="32"/>
          <w:szCs w:val="32"/>
        </w:rPr>
      </w:pPr>
      <w:r>
        <w:rPr>
          <w:rFonts w:hint="eastAsia" w:ascii="楷体_GB2312" w:hAnsi="仿宋" w:eastAsia="楷体_GB2312" w:cs="仿宋"/>
          <w:bCs/>
          <w:color w:val="000000"/>
          <w:sz w:val="32"/>
          <w:szCs w:val="32"/>
        </w:rPr>
        <w:t>(一)</w:t>
      </w:r>
      <w:r>
        <w:rPr>
          <w:rFonts w:hint="eastAsia" w:ascii="楷体_GB2312" w:hAnsi="仿宋" w:eastAsia="楷体_GB2312" w:cs="仿宋"/>
          <w:bCs/>
          <w:color w:val="000000"/>
          <w:sz w:val="32"/>
          <w:szCs w:val="32"/>
          <w:shd w:val="clear" w:color="auto" w:fill="FFFFFF"/>
        </w:rPr>
        <w:t>产业基础有待提升</w:t>
      </w:r>
      <w:r>
        <w:rPr>
          <w:rFonts w:hint="eastAsia" w:ascii="楷体_GB2312" w:hAnsi="仿宋" w:eastAsia="楷体_GB2312" w:cs="仿宋"/>
          <w:color w:val="000000"/>
          <w:sz w:val="32"/>
          <w:szCs w:val="32"/>
          <w:shd w:val="clear" w:color="auto" w:fill="FFFFFF"/>
        </w:rPr>
        <w:t>。</w:t>
      </w:r>
      <w:r>
        <w:rPr>
          <w:rFonts w:hint="eastAsia" w:ascii="仿宋_GB2312" w:hAnsi="仿宋" w:eastAsia="仿宋_GB2312" w:cs="仿宋"/>
          <w:bCs/>
          <w:color w:val="000000"/>
          <w:sz w:val="32"/>
          <w:szCs w:val="32"/>
        </w:rPr>
        <w:t>全</w:t>
      </w:r>
      <w:r>
        <w:rPr>
          <w:rFonts w:hint="eastAsia" w:ascii="仿宋_GB2312" w:hAnsi="仿宋" w:eastAsia="仿宋_GB2312" w:cs="仿宋"/>
          <w:color w:val="000000"/>
          <w:kern w:val="0"/>
          <w:sz w:val="32"/>
          <w:szCs w:val="32"/>
        </w:rPr>
        <w:t>市规模以上中药材加工企业21家，</w:t>
      </w:r>
      <w:r>
        <w:rPr>
          <w:rFonts w:hint="eastAsia" w:ascii="仿宋_GB2312" w:hAnsi="仿宋" w:eastAsia="仿宋_GB2312" w:cs="仿宋"/>
          <w:bCs/>
          <w:color w:val="000000"/>
          <w:sz w:val="32"/>
          <w:szCs w:val="32"/>
        </w:rPr>
        <w:t>中蒙药生产企业2家，</w:t>
      </w:r>
      <w:r>
        <w:rPr>
          <w:rFonts w:hint="eastAsia" w:ascii="仿宋_GB2312" w:hAnsi="仿宋" w:eastAsia="仿宋_GB2312" w:cs="仿宋"/>
          <w:color w:val="000000"/>
          <w:sz w:val="32"/>
          <w:szCs w:val="32"/>
          <w:shd w:val="clear" w:color="auto" w:fill="FFFFFF"/>
        </w:rPr>
        <w:t>虽在全区处于领先位置，但工业经济总量偏小，产业发展能级不够。产业核心竞争力不强问题突出，制造业产业链关联不紧密，上下游协同能力不强，龙头企业数量较少，创新发展驱动成效不明显。</w:t>
      </w:r>
    </w:p>
    <w:p w14:paraId="1695C4C6">
      <w:pPr>
        <w:spacing w:line="360" w:lineRule="auto"/>
        <w:ind w:firstLine="640" w:firstLineChars="200"/>
        <w:rPr>
          <w:rFonts w:ascii="仿宋_GB2312" w:hAnsi="仿宋" w:eastAsia="仿宋_GB2312" w:cs="仿宋"/>
          <w:color w:val="000000"/>
          <w:sz w:val="32"/>
          <w:szCs w:val="32"/>
          <w:shd w:val="clear" w:color="auto" w:fill="FFFFFF"/>
        </w:rPr>
      </w:pPr>
      <w:r>
        <w:rPr>
          <w:rFonts w:hint="eastAsia" w:ascii="楷体_GB2312" w:hAnsi="仿宋" w:eastAsia="楷体_GB2312" w:cs="仿宋"/>
          <w:color w:val="000000"/>
          <w:sz w:val="32"/>
          <w:szCs w:val="32"/>
        </w:rPr>
        <w:t>（二）</w:t>
      </w:r>
      <w:r>
        <w:rPr>
          <w:rFonts w:hint="eastAsia" w:ascii="楷体_GB2312" w:hAnsi="仿宋" w:eastAsia="楷体_GB2312" w:cs="仿宋"/>
          <w:color w:val="000000"/>
          <w:sz w:val="32"/>
          <w:szCs w:val="32"/>
          <w:shd w:val="clear" w:color="auto" w:fill="FFFFFF"/>
        </w:rPr>
        <w:t>支撑体系有待加强。</w:t>
      </w:r>
      <w:r>
        <w:rPr>
          <w:rFonts w:hint="eastAsia" w:ascii="仿宋_GB2312" w:hAnsi="仿宋" w:eastAsia="仿宋_GB2312" w:cs="仿宋"/>
          <w:color w:val="000000"/>
          <w:sz w:val="32"/>
          <w:szCs w:val="32"/>
          <w:shd w:val="clear" w:color="auto" w:fill="FFFFFF"/>
        </w:rPr>
        <w:t>核心技术瓶颈、关键原材料自给保障、先进基础工艺积累、工业软件支撑等基础能力都需要夯实，工业互联网与制造业还未深度融合且创新能力不足，技术、人才和资金等生产要素方面的积累有待提升。</w:t>
      </w:r>
    </w:p>
    <w:p w14:paraId="2705EB1F">
      <w:pPr>
        <w:spacing w:line="360" w:lineRule="auto"/>
        <w:ind w:firstLine="640" w:firstLineChars="200"/>
        <w:rPr>
          <w:rFonts w:ascii="仿宋_GB2312" w:hAnsi="楷体" w:eastAsia="仿宋_GB2312"/>
          <w:b/>
          <w:color w:val="000000"/>
          <w:sz w:val="32"/>
          <w:szCs w:val="32"/>
        </w:rPr>
      </w:pPr>
      <w:r>
        <w:rPr>
          <w:rFonts w:hint="eastAsia" w:ascii="楷体_GB2312" w:hAnsi="仿宋" w:eastAsia="楷体_GB2312" w:cs="仿宋"/>
          <w:color w:val="000000"/>
          <w:sz w:val="32"/>
          <w:szCs w:val="32"/>
        </w:rPr>
        <w:t>（三）缺乏技术创新动力。</w:t>
      </w:r>
      <w:r>
        <w:rPr>
          <w:rFonts w:hint="eastAsia" w:ascii="仿宋_GB2312" w:hAnsi="仿宋" w:eastAsia="仿宋_GB2312" w:cs="仿宋"/>
          <w:color w:val="000000"/>
          <w:sz w:val="32"/>
          <w:szCs w:val="32"/>
          <w:shd w:val="clear" w:color="auto" w:fill="FFFFFF"/>
        </w:rPr>
        <w:t>因本地无高层次科研机构和高水平学术带头人，科技实力不强，更是成为明显的短板。主要存在问题：企业创新平台申报、引进高端人才难度加大，企业科技投入少，与大院大所合作少。</w:t>
      </w:r>
    </w:p>
    <w:p w14:paraId="4C57B0D7">
      <w:pPr>
        <w:spacing w:line="360" w:lineRule="auto"/>
        <w:ind w:firstLine="643" w:firstLineChars="200"/>
        <w:rPr>
          <w:rFonts w:ascii="黑体" w:hAnsi="黑体" w:eastAsia="黑体"/>
          <w:b/>
          <w:color w:val="000000"/>
          <w:sz w:val="32"/>
          <w:szCs w:val="32"/>
        </w:rPr>
      </w:pPr>
      <w:r>
        <w:rPr>
          <w:rFonts w:hint="eastAsia" w:ascii="黑体" w:hAnsi="黑体" w:eastAsia="黑体"/>
          <w:b/>
          <w:color w:val="000000"/>
          <w:sz w:val="32"/>
          <w:szCs w:val="32"/>
        </w:rPr>
        <w:t>二、建议</w:t>
      </w:r>
    </w:p>
    <w:p w14:paraId="0247A0D1">
      <w:pPr>
        <w:spacing w:line="360" w:lineRule="auto"/>
        <w:ind w:firstLine="640" w:firstLineChars="200"/>
        <w:rPr>
          <w:rFonts w:ascii="仿宋_GB2312" w:hAnsi="仿宋" w:eastAsia="仿宋_GB2312" w:cs="仿宋"/>
          <w:color w:val="000000"/>
          <w:sz w:val="32"/>
          <w:szCs w:val="32"/>
        </w:rPr>
      </w:pPr>
      <w:r>
        <w:rPr>
          <w:rFonts w:hint="eastAsia" w:ascii="楷体_GB2312" w:hAnsi="仿宋" w:eastAsia="楷体_GB2312" w:cs="仿宋"/>
          <w:bCs/>
          <w:color w:val="000000"/>
          <w:sz w:val="32"/>
          <w:szCs w:val="32"/>
        </w:rPr>
        <w:t>（一）加强顶层设计和政策扶持。</w:t>
      </w:r>
      <w:r>
        <w:rPr>
          <w:rFonts w:hint="eastAsia" w:ascii="仿宋_GB2312" w:hAnsi="仿宋" w:eastAsia="仿宋_GB2312" w:cs="仿宋"/>
          <w:color w:val="000000"/>
          <w:sz w:val="32"/>
          <w:szCs w:val="32"/>
        </w:rPr>
        <w:t>结合我市产业优势和技术基础，围绕中蒙成药、中药材、饮片等产业链，优先推荐企业与国内高校院所申报承担国家重大科技重大专项、国家中医药现代化专项、自治区科技专项等项目。加大对企业的财政支持力度，在科技成果转化、税收、人才等方面给予政策支持。</w:t>
      </w:r>
    </w:p>
    <w:p w14:paraId="1E8A8C42">
      <w:pPr>
        <w:spacing w:line="360" w:lineRule="auto"/>
        <w:ind w:firstLine="640" w:firstLineChars="200"/>
        <w:rPr>
          <w:rFonts w:ascii="仿宋_GB2312" w:hAnsi="仿宋" w:eastAsia="仿宋_GB2312" w:cs="仿宋"/>
          <w:color w:val="000000"/>
          <w:sz w:val="32"/>
          <w:szCs w:val="32"/>
        </w:rPr>
      </w:pPr>
      <w:r>
        <w:rPr>
          <w:rFonts w:hint="eastAsia" w:ascii="楷体_GB2312" w:hAnsi="仿宋" w:eastAsia="楷体_GB2312" w:cs="仿宋"/>
          <w:bCs/>
          <w:color w:val="000000"/>
          <w:sz w:val="32"/>
          <w:szCs w:val="32"/>
        </w:rPr>
        <w:t>（二）加大行业领军企业培育力度。</w:t>
      </w:r>
      <w:r>
        <w:rPr>
          <w:rFonts w:hint="eastAsia" w:ascii="仿宋_GB2312" w:hAnsi="仿宋" w:eastAsia="仿宋_GB2312" w:cs="仿宋"/>
          <w:color w:val="000000"/>
          <w:sz w:val="32"/>
          <w:szCs w:val="32"/>
        </w:rPr>
        <w:t>强化源头创新，进一步引进大院大所落户赤峰，在创新源头促进其与企业合作，共同攻克技术瓶颈。支持领军企业建立工程研究中心、重点实验室、研发中心等创新平台，对已有的国家级、省部级研发平台给予能力建设支持，提升企业基础研究和技术研发实力。通过政策支持、资金倾斜、规划产业发展路线等举措引导其发展方向，培育更多单项冠军和科技领军企业。</w:t>
      </w:r>
    </w:p>
    <w:p w14:paraId="0B20B61B">
      <w:pPr>
        <w:spacing w:line="360" w:lineRule="auto"/>
        <w:ind w:firstLine="640" w:firstLineChars="200"/>
        <w:rPr>
          <w:rFonts w:ascii="仿宋" w:hAnsi="仿宋" w:eastAsia="仿宋" w:cs="仿宋"/>
          <w:color w:val="000000"/>
          <w:sz w:val="32"/>
          <w:szCs w:val="32"/>
        </w:rPr>
      </w:pPr>
      <w:r>
        <w:rPr>
          <w:rFonts w:hint="eastAsia" w:ascii="楷体_GB2312" w:hAnsi="仿宋" w:eastAsia="楷体_GB2312" w:cs="仿宋"/>
          <w:bCs/>
          <w:color w:val="000000"/>
          <w:sz w:val="32"/>
          <w:szCs w:val="32"/>
        </w:rPr>
        <w:t>（三）深化产学研合作广度与深度。</w:t>
      </w:r>
      <w:r>
        <w:rPr>
          <w:rFonts w:hint="eastAsia" w:ascii="仿宋_GB2312" w:hAnsi="仿宋" w:eastAsia="仿宋_GB2312" w:cs="仿宋"/>
          <w:color w:val="000000"/>
          <w:sz w:val="32"/>
          <w:szCs w:val="32"/>
        </w:rPr>
        <w:t>集中解决产学研对接针对性不足、本地高等院校在技术创新中贡献度低、边缘化倾向等问题。积极引导本地高校、科研院所的创新要素向企业转移聚集，围绕企业提出的创新需求，组织跨学科、跨专业的协同攻关。鼓励支持本地高校、科研院所与领军企业共同组建重点实验室、研发基地、协同创新中心等联合研发平台。</w:t>
      </w:r>
    </w:p>
    <w:p w14:paraId="583C0BA2">
      <w:pPr>
        <w:spacing w:line="360" w:lineRule="auto"/>
        <w:ind w:firstLine="640" w:firstLineChars="200"/>
        <w:rPr>
          <w:rFonts w:ascii="仿宋_GB2312" w:hAnsi="仿宋" w:eastAsia="仿宋_GB2312" w:cs="仿宋"/>
          <w:color w:val="000000"/>
          <w:sz w:val="32"/>
          <w:szCs w:val="32"/>
          <w:shd w:val="clear" w:color="auto" w:fill="FFFFFF"/>
        </w:rPr>
      </w:pPr>
      <w:r>
        <w:rPr>
          <w:rFonts w:hint="eastAsia" w:ascii="楷体_GB2312" w:hAnsi="仿宋" w:eastAsia="楷体_GB2312" w:cs="仿宋"/>
          <w:bCs/>
          <w:color w:val="000000"/>
          <w:sz w:val="32"/>
          <w:szCs w:val="32"/>
          <w:shd w:val="clear" w:color="auto" w:fill="FFFFFF"/>
        </w:rPr>
        <w:t>（四）提高发展创新驱动能力。</w:t>
      </w:r>
      <w:r>
        <w:rPr>
          <w:rFonts w:hint="eastAsia" w:ascii="仿宋_GB2312" w:hAnsi="仿宋" w:eastAsia="仿宋_GB2312" w:cs="仿宋"/>
          <w:color w:val="000000"/>
          <w:sz w:val="32"/>
          <w:szCs w:val="32"/>
          <w:shd w:val="clear" w:color="auto" w:fill="FFFFFF"/>
        </w:rPr>
        <w:t>依托现有中蒙药丸剂国家地方联合工程研究中心、内蒙古蒙中药创新中心等重大创新平台，加快突破关键核心技术。激发人才活力促进转化创新。建立健全校企合作育人、协同创新的体制机制，构建服务支撑产业重大需求的创新人才培养体系。充分发挥领军人才的作用，加快培育一批企业家和高层次管理人才队伍，加快实现科技创新和产业提升双联动。</w:t>
      </w:r>
    </w:p>
    <w:p w14:paraId="25FD3E13">
      <w:pPr>
        <w:spacing w:line="360" w:lineRule="auto"/>
        <w:ind w:firstLine="640" w:firstLineChars="200"/>
        <w:rPr>
          <w:rFonts w:ascii="仿宋_GB2312" w:hAnsi="仿宋" w:eastAsia="仿宋_GB2312" w:cs="仿宋"/>
          <w:color w:val="000000"/>
          <w:sz w:val="32"/>
          <w:szCs w:val="32"/>
          <w:shd w:val="clear" w:color="auto" w:fill="FFFFFF"/>
        </w:rPr>
      </w:pPr>
      <w:r>
        <w:rPr>
          <w:rFonts w:hint="eastAsia" w:ascii="楷体_GB2312" w:hAnsi="仿宋" w:eastAsia="楷体_GB2312" w:cs="仿宋"/>
          <w:bCs/>
          <w:color w:val="000000"/>
          <w:sz w:val="32"/>
          <w:szCs w:val="32"/>
          <w:shd w:val="clear" w:color="auto" w:fill="FFFFFF"/>
        </w:rPr>
        <w:t>（五）加快制造业数字化智能化转型。</w:t>
      </w:r>
      <w:r>
        <w:rPr>
          <w:rFonts w:hint="eastAsia" w:ascii="仿宋_GB2312" w:hAnsi="仿宋" w:eastAsia="仿宋_GB2312" w:cs="仿宋"/>
          <w:color w:val="000000"/>
          <w:sz w:val="32"/>
          <w:szCs w:val="32"/>
          <w:shd w:val="clear" w:color="auto" w:fill="FFFFFF"/>
        </w:rPr>
        <w:t>通过数字技术赋能制造业转型升级，加速推进制造业数字化、网络化、智能化转型，推动现有中蒙成药、中药饮片生产企业的基础设施的数字化改造，支持企业购置先进设备，提高工艺装备水平，以智能制造为主攻方向推动产业技术变革和优化升级。</w:t>
      </w:r>
    </w:p>
    <w:p w14:paraId="478A7510">
      <w:pPr>
        <w:spacing w:line="360" w:lineRule="auto"/>
        <w:ind w:firstLine="640" w:firstLineChars="200"/>
        <w:rPr>
          <w:rFonts w:ascii="仿宋_GB2312" w:hAnsi="仿宋" w:eastAsia="仿宋_GB2312" w:cs="仿宋"/>
          <w:color w:val="000000"/>
          <w:sz w:val="32"/>
          <w:szCs w:val="32"/>
          <w:shd w:val="clear" w:color="auto" w:fill="FFFFFF"/>
        </w:rPr>
      </w:pPr>
      <w:r>
        <w:rPr>
          <w:rFonts w:hint="eastAsia" w:ascii="楷体_GB2312" w:hAnsi="仿宋" w:eastAsia="楷体_GB2312" w:cs="仿宋"/>
          <w:bCs/>
          <w:color w:val="000000"/>
          <w:sz w:val="32"/>
          <w:szCs w:val="32"/>
          <w:shd w:val="clear" w:color="auto" w:fill="FFFFFF"/>
        </w:rPr>
        <w:t>（六）发挥制造业高质量发展链式聚集效能。</w:t>
      </w:r>
      <w:r>
        <w:rPr>
          <w:rFonts w:hint="eastAsia" w:ascii="仿宋_GB2312" w:hAnsi="仿宋" w:eastAsia="仿宋_GB2312" w:cs="仿宋"/>
          <w:color w:val="000000"/>
          <w:sz w:val="32"/>
          <w:szCs w:val="32"/>
          <w:shd w:val="clear" w:color="auto" w:fill="FFFFFF"/>
        </w:rPr>
        <w:t>推进产业链上下游、产供销配套，进一步串联关键环节，补齐薄弱环节，强化优势环节，提升产业链整体竞争力。培育优质企业，做好“抓大、培优、育小”，打造一批具有主导力、核心竞争力的“小巨人”企业，培育一批专注细分市场、聚焦主营业务的专精特新企业。</w:t>
      </w:r>
    </w:p>
    <w:p w14:paraId="110018CB">
      <w:pPr>
        <w:spacing w:line="360" w:lineRule="auto"/>
        <w:ind w:firstLine="640" w:firstLineChars="200"/>
        <w:rPr>
          <w:rFonts w:ascii="仿宋" w:hAnsi="仿宋" w:eastAsia="仿宋" w:cs="仿宋"/>
          <w:color w:val="000000"/>
          <w:sz w:val="32"/>
          <w:szCs w:val="32"/>
          <w:shd w:val="clear" w:color="auto" w:fill="FFFFFF"/>
        </w:rPr>
      </w:pPr>
    </w:p>
    <w:p w14:paraId="65E1C6CA"/>
    <w:p w14:paraId="7D5FF6E2">
      <w:pPr>
        <w:rPr>
          <w:rFonts w:ascii="楷体_GB2312" w:hAnsi="楷体_GB2312" w:eastAsia="楷体_GB2312" w:cs="楷体_GB2312"/>
          <w:sz w:val="32"/>
          <w:szCs w:val="32"/>
        </w:rPr>
      </w:pPr>
    </w:p>
    <w:p w14:paraId="726D18A8">
      <w:pPr>
        <w:rPr>
          <w:rFonts w:ascii="楷体_GB2312" w:hAnsi="楷体_GB2312" w:eastAsia="楷体_GB2312" w:cs="楷体_GB2312"/>
          <w:sz w:val="32"/>
          <w:szCs w:val="32"/>
        </w:rPr>
      </w:pPr>
    </w:p>
    <w:p w14:paraId="76530FC8">
      <w:pPr>
        <w:rPr>
          <w:rFonts w:ascii="楷体_GB2312" w:hAnsi="楷体_GB2312" w:eastAsia="楷体_GB2312" w:cs="楷体_GB2312"/>
          <w:sz w:val="32"/>
          <w:szCs w:val="32"/>
        </w:rPr>
      </w:pPr>
    </w:p>
    <w:p w14:paraId="798A85EC">
      <w:pPr>
        <w:rPr>
          <w:rFonts w:ascii="楷体_GB2312" w:hAnsi="楷体_GB2312" w:eastAsia="楷体_GB2312" w:cs="楷体_GB2312"/>
          <w:sz w:val="32"/>
          <w:szCs w:val="32"/>
        </w:rPr>
      </w:pPr>
    </w:p>
    <w:p w14:paraId="4B90FA5B">
      <w:pPr>
        <w:rPr>
          <w:rFonts w:ascii="楷体_GB2312" w:hAnsi="楷体_GB2312" w:eastAsia="楷体_GB2312" w:cs="楷体_GB2312"/>
          <w:sz w:val="32"/>
          <w:szCs w:val="32"/>
        </w:rPr>
      </w:pPr>
    </w:p>
    <w:p w14:paraId="401ABF95">
      <w:pPr>
        <w:rPr>
          <w:rFonts w:ascii="楷体_GB2312" w:hAnsi="楷体_GB2312" w:eastAsia="楷体_GB2312" w:cs="楷体_GB2312"/>
          <w:sz w:val="32"/>
          <w:szCs w:val="32"/>
        </w:rPr>
      </w:pPr>
    </w:p>
    <w:p w14:paraId="3027D827">
      <w:pPr>
        <w:rPr>
          <w:rFonts w:ascii="楷体_GB2312" w:hAnsi="楷体_GB2312" w:eastAsia="楷体_GB2312" w:cs="楷体_GB2312"/>
          <w:sz w:val="32"/>
          <w:szCs w:val="32"/>
        </w:rPr>
      </w:pPr>
    </w:p>
    <w:p w14:paraId="79821A6B">
      <w:pPr>
        <w:rPr>
          <w:rFonts w:ascii="楷体_GB2312" w:hAnsi="楷体_GB2312" w:eastAsia="楷体_GB2312" w:cs="楷体_GB2312"/>
          <w:sz w:val="32"/>
          <w:szCs w:val="32"/>
        </w:rPr>
      </w:pPr>
    </w:p>
    <w:p w14:paraId="67C7A0D3">
      <w:pPr>
        <w:rPr>
          <w:rFonts w:ascii="楷体_GB2312" w:hAnsi="楷体_GB2312" w:eastAsia="楷体_GB2312" w:cs="楷体_GB2312"/>
          <w:sz w:val="32"/>
          <w:szCs w:val="32"/>
        </w:rPr>
      </w:pPr>
    </w:p>
    <w:p w14:paraId="27A4E4BC">
      <w:pPr>
        <w:rPr>
          <w:rFonts w:ascii="楷体_GB2312" w:hAnsi="楷体_GB2312" w:eastAsia="楷体_GB2312" w:cs="楷体_GB2312"/>
          <w:sz w:val="32"/>
          <w:szCs w:val="32"/>
        </w:rPr>
      </w:pPr>
    </w:p>
    <w:p w14:paraId="7D9F66CB">
      <w:pPr>
        <w:rPr>
          <w:rFonts w:ascii="楷体_GB2312" w:hAnsi="楷体_GB2312" w:eastAsia="楷体_GB2312" w:cs="楷体_GB2312"/>
          <w:sz w:val="32"/>
          <w:szCs w:val="32"/>
        </w:rPr>
      </w:pPr>
    </w:p>
    <w:p w14:paraId="2AFB57F8">
      <w:pPr>
        <w:rPr>
          <w:rFonts w:ascii="楷体_GB2312" w:hAnsi="楷体_GB2312" w:eastAsia="楷体_GB2312" w:cs="楷体_GB2312"/>
          <w:sz w:val="32"/>
          <w:szCs w:val="32"/>
        </w:rPr>
      </w:pPr>
    </w:p>
    <w:p w14:paraId="66C1CF26">
      <w:pPr>
        <w:rPr>
          <w:rFonts w:ascii="楷体_GB2312" w:hAnsi="楷体_GB2312" w:eastAsia="楷体_GB2312" w:cs="楷体_GB2312"/>
          <w:sz w:val="32"/>
          <w:szCs w:val="32"/>
        </w:rPr>
      </w:pPr>
    </w:p>
    <w:p w14:paraId="38CA3A06">
      <w:pPr>
        <w:rPr>
          <w:rFonts w:ascii="楷体_GB2312" w:hAnsi="楷体_GB2312" w:eastAsia="楷体_GB2312" w:cs="楷体_GB2312"/>
          <w:sz w:val="32"/>
          <w:szCs w:val="32"/>
        </w:rPr>
      </w:pPr>
    </w:p>
    <w:p w14:paraId="2C6934BB">
      <w:pPr>
        <w:rPr>
          <w:rFonts w:ascii="楷体_GB2312" w:hAnsi="楷体_GB2312" w:eastAsia="楷体_GB2312" w:cs="楷体_GB2312"/>
          <w:sz w:val="32"/>
          <w:szCs w:val="32"/>
        </w:rPr>
      </w:pPr>
    </w:p>
    <w:p w14:paraId="5AC8BEBC">
      <w:pPr>
        <w:rPr>
          <w:rFonts w:ascii="楷体_GB2312" w:hAnsi="楷体_GB2312" w:eastAsia="楷体_GB2312" w:cs="楷体_GB2312"/>
          <w:sz w:val="32"/>
          <w:szCs w:val="32"/>
        </w:rPr>
      </w:pPr>
    </w:p>
    <w:p w14:paraId="7BDAB582">
      <w:pPr>
        <w:rPr>
          <w:rFonts w:ascii="楷体_GB2312" w:hAnsi="楷体_GB2312" w:eastAsia="楷体_GB2312" w:cs="楷体_GB2312"/>
          <w:sz w:val="32"/>
          <w:szCs w:val="32"/>
        </w:rPr>
      </w:pPr>
    </w:p>
    <w:p w14:paraId="41759AEE">
      <w:pPr>
        <w:rPr>
          <w:rFonts w:ascii="楷体_GB2312" w:hAnsi="楷体_GB2312" w:eastAsia="楷体_GB2312" w:cs="楷体_GB2312"/>
          <w:sz w:val="32"/>
          <w:szCs w:val="32"/>
        </w:rPr>
      </w:pPr>
    </w:p>
    <w:p w14:paraId="33289CC9">
      <w:pPr>
        <w:rPr>
          <w:rFonts w:ascii="楷体_GB2312" w:hAnsi="楷体_GB2312" w:eastAsia="楷体_GB2312" w:cs="楷体_GB2312"/>
          <w:sz w:val="32"/>
          <w:szCs w:val="32"/>
        </w:rPr>
      </w:pPr>
    </w:p>
    <w:p w14:paraId="58BE914E">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提案编号:016</w:t>
      </w:r>
    </w:p>
    <w:p w14:paraId="5FCEE9CC">
      <w:pPr>
        <w:ind w:left="1600" w:hanging="1600" w:hangingChars="500"/>
        <w:rPr>
          <w:rFonts w:ascii="楷体_GB2312" w:eastAsia="楷体_GB2312"/>
          <w:sz w:val="32"/>
          <w:szCs w:val="32"/>
        </w:rPr>
      </w:pPr>
      <w:r>
        <w:rPr>
          <w:rFonts w:hint="eastAsia" w:ascii="楷体_GB2312" w:hAnsi="楷体_GB2312" w:eastAsia="楷体_GB2312" w:cs="楷体_GB2312"/>
          <w:sz w:val="32"/>
          <w:szCs w:val="32"/>
        </w:rPr>
        <w:t>提案名称:</w:t>
      </w:r>
      <w:r>
        <w:rPr>
          <w:rFonts w:hint="eastAsia" w:ascii="方正小标宋简体" w:eastAsia="方正小标宋简体"/>
          <w:sz w:val="44"/>
          <w:szCs w:val="44"/>
        </w:rPr>
        <w:t xml:space="preserve"> </w:t>
      </w:r>
      <w:r>
        <w:rPr>
          <w:rFonts w:hint="eastAsia" w:ascii="楷体_GB2312" w:eastAsia="楷体_GB2312"/>
          <w:sz w:val="32"/>
          <w:szCs w:val="32"/>
        </w:rPr>
        <w:t>关于加强乡村旅游发展、再创喀旗经济辉煌的提案</w:t>
      </w:r>
    </w:p>
    <w:p w14:paraId="6EA7BACF">
      <w:pPr>
        <w:spacing w:line="560" w:lineRule="exact"/>
        <w:rPr>
          <w:rFonts w:ascii="楷体_GB2312" w:eastAsia="楷体_GB2312"/>
          <w:spacing w:val="-17"/>
          <w:sz w:val="32"/>
          <w:szCs w:val="32"/>
        </w:rPr>
      </w:pPr>
      <w:r>
        <w:rPr>
          <w:rFonts w:hint="eastAsia" w:ascii="楷体_GB2312" w:hAnsi="楷体_GB2312" w:eastAsia="楷体_GB2312" w:cs="楷体_GB2312"/>
          <w:sz w:val="32"/>
          <w:szCs w:val="32"/>
        </w:rPr>
        <w:t>提 案 人: 于彩英</w:t>
      </w:r>
    </w:p>
    <w:p w14:paraId="66336533">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联系方式：13789496618</w:t>
      </w:r>
    </w:p>
    <w:p w14:paraId="43DDF3C7">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别:少数民族和宗教</w:t>
      </w:r>
    </w:p>
    <w:p w14:paraId="210E23DE">
      <w:pPr>
        <w:jc w:val="center"/>
        <w:rPr>
          <w:rFonts w:ascii="方正小标宋简体" w:eastAsia="方正小标宋简体"/>
          <w:sz w:val="44"/>
          <w:szCs w:val="44"/>
        </w:rPr>
      </w:pPr>
      <w:r>
        <w:rPr>
          <w:rFonts w:hint="eastAsia" w:ascii="方正小标宋简体" w:eastAsia="方正小标宋简体"/>
          <w:sz w:val="44"/>
          <w:szCs w:val="44"/>
        </w:rPr>
        <w:t>关于加强乡村旅游发展、再创喀旗经济辉煌的提案</w:t>
      </w:r>
    </w:p>
    <w:p w14:paraId="79BEA888"/>
    <w:p w14:paraId="092502A6">
      <w:pPr>
        <w:rPr>
          <w:rFonts w:ascii="仿宋_GB2312" w:eastAsia="仿宋_GB2312"/>
          <w:sz w:val="32"/>
          <w:szCs w:val="32"/>
        </w:rPr>
      </w:pPr>
      <w:r>
        <w:rPr>
          <w:rFonts w:hint="eastAsia"/>
        </w:rPr>
        <w:t xml:space="preserve">    </w:t>
      </w:r>
      <w:r>
        <w:rPr>
          <w:rFonts w:hint="eastAsia" w:ascii="仿宋_GB2312" w:eastAsia="仿宋_GB2312"/>
          <w:sz w:val="32"/>
          <w:szCs w:val="32"/>
        </w:rPr>
        <w:t>随着我国经济发展，人民生活水平的提高，老百姓闲暇时间的增多，这也给旅游业带来了新的发展空间，尤其是乡村旅游。而喀喇沁旗有着得天独厚的自然条件，全旗森林面积275万亩，森林覆盖率达到百分之五十七点八，居赤峰市首位。其中马鞍山林场和旺爷店林场被认定为“国家级”森林公园，王爷府林场被认定为“国家级”森林康养建设基地，近年来先后被评为全国生态先进县，国家级全域森林康养试点先进县。且区位交通优势明显，距北京320公里，承德130公里，大广高速穿境而过，玉龙机场已扩建完毕，省道、县道交通便利等。给喀旗旅游业带来发展的契机，虽有发展，但也有不足。</w:t>
      </w:r>
    </w:p>
    <w:p w14:paraId="1D294886">
      <w:pPr>
        <w:rPr>
          <w:rFonts w:ascii="黑体" w:hAnsi="黑体" w:eastAsia="黑体"/>
          <w:sz w:val="32"/>
          <w:szCs w:val="32"/>
        </w:rPr>
      </w:pPr>
      <w:r>
        <w:rPr>
          <w:rFonts w:hint="eastAsia" w:ascii="黑体" w:hAnsi="黑体" w:eastAsia="黑体"/>
          <w:sz w:val="32"/>
          <w:szCs w:val="32"/>
        </w:rPr>
        <w:t>一、存在的问题</w:t>
      </w:r>
    </w:p>
    <w:p w14:paraId="76BC45AE">
      <w:pPr>
        <w:ind w:firstLine="480"/>
        <w:rPr>
          <w:rFonts w:ascii="楷体_GB2312" w:hAnsi="黑体" w:eastAsia="楷体_GB2312"/>
          <w:sz w:val="32"/>
          <w:szCs w:val="32"/>
        </w:rPr>
      </w:pPr>
      <w:r>
        <w:rPr>
          <w:rFonts w:hint="eastAsia" w:ascii="楷体_GB2312" w:eastAsia="楷体_GB2312"/>
          <w:sz w:val="32"/>
          <w:szCs w:val="32"/>
        </w:rPr>
        <w:t xml:space="preserve"> 1、我旗旅游发展条件尚可，但规模小，配套设施不完善。</w:t>
      </w:r>
    </w:p>
    <w:p w14:paraId="59E9B0E1">
      <w:pPr>
        <w:ind w:firstLine="640" w:firstLineChars="200"/>
        <w:rPr>
          <w:rFonts w:ascii="楷体_GB2312" w:eastAsia="楷体_GB2312"/>
          <w:sz w:val="32"/>
          <w:szCs w:val="32"/>
        </w:rPr>
      </w:pPr>
      <w:r>
        <w:rPr>
          <w:rFonts w:hint="eastAsia" w:ascii="楷体_GB2312" w:eastAsia="楷体_GB2312"/>
          <w:sz w:val="32"/>
          <w:szCs w:val="32"/>
        </w:rPr>
        <w:t>2、缺少对乡村旅游的开发。</w:t>
      </w:r>
    </w:p>
    <w:p w14:paraId="39CDA154">
      <w:pPr>
        <w:ind w:firstLine="640" w:firstLineChars="200"/>
        <w:rPr>
          <w:rFonts w:ascii="楷体_GB2312" w:eastAsia="楷体_GB2312"/>
          <w:sz w:val="32"/>
          <w:szCs w:val="32"/>
        </w:rPr>
      </w:pPr>
      <w:r>
        <w:rPr>
          <w:rFonts w:hint="eastAsia" w:ascii="楷体_GB2312" w:eastAsia="楷体_GB2312"/>
          <w:sz w:val="32"/>
          <w:szCs w:val="32"/>
        </w:rPr>
        <w:t>3、旅游模式单一。</w:t>
      </w:r>
    </w:p>
    <w:p w14:paraId="0BDF7A94">
      <w:pPr>
        <w:ind w:firstLine="640" w:firstLineChars="200"/>
        <w:rPr>
          <w:rFonts w:ascii="楷体_GB2312" w:eastAsia="楷体_GB2312"/>
          <w:sz w:val="32"/>
          <w:szCs w:val="32"/>
        </w:rPr>
      </w:pPr>
      <w:r>
        <w:rPr>
          <w:rFonts w:hint="eastAsia" w:ascii="楷体_GB2312" w:eastAsia="楷体_GB2312"/>
          <w:sz w:val="32"/>
          <w:szCs w:val="32"/>
        </w:rPr>
        <w:t>4、缺少专业性人才。</w:t>
      </w:r>
    </w:p>
    <w:p w14:paraId="43C0AEFD">
      <w:pPr>
        <w:rPr>
          <w:rFonts w:ascii="仿宋_GB2312" w:eastAsia="仿宋_GB2312"/>
          <w:sz w:val="32"/>
          <w:szCs w:val="32"/>
        </w:rPr>
      </w:pPr>
      <w:r>
        <w:rPr>
          <w:rFonts w:hint="eastAsia" w:ascii="黑体" w:hAnsi="黑体" w:eastAsia="黑体"/>
          <w:sz w:val="32"/>
          <w:szCs w:val="32"/>
        </w:rPr>
        <w:t>二、建议</w:t>
      </w:r>
    </w:p>
    <w:p w14:paraId="0825E4F2">
      <w:pPr>
        <w:ind w:firstLine="640" w:firstLineChars="200"/>
        <w:rPr>
          <w:rFonts w:ascii="仿宋_GB2312" w:eastAsia="仿宋_GB2312"/>
          <w:sz w:val="32"/>
          <w:szCs w:val="32"/>
        </w:rPr>
      </w:pPr>
      <w:r>
        <w:rPr>
          <w:rFonts w:hint="eastAsia" w:ascii="楷体_GB2312" w:eastAsia="楷体_GB2312"/>
          <w:sz w:val="32"/>
          <w:szCs w:val="32"/>
        </w:rPr>
        <w:t>1、打造旅游品牌形象。</w:t>
      </w:r>
      <w:r>
        <w:rPr>
          <w:rFonts w:hint="eastAsia" w:ascii="仿宋_GB2312" w:eastAsia="仿宋_GB2312"/>
          <w:sz w:val="32"/>
          <w:szCs w:val="32"/>
        </w:rPr>
        <w:t>建议由旗政府带头，组织文旅、交通、农业等部门，根据各乡镇的产业特色和地域特点增开项目，使乡村旅游产业具有较高的文化品位、格调及内涵。</w:t>
      </w:r>
    </w:p>
    <w:p w14:paraId="53C2308F">
      <w:pPr>
        <w:rPr>
          <w:rFonts w:ascii="仿宋_GB2312" w:eastAsia="仿宋_GB2312"/>
          <w:sz w:val="32"/>
          <w:szCs w:val="32"/>
        </w:rPr>
      </w:pPr>
      <w:r>
        <w:rPr>
          <w:rFonts w:hint="eastAsia" w:ascii="仿宋_GB2312" w:eastAsia="仿宋_GB2312"/>
          <w:sz w:val="32"/>
          <w:szCs w:val="32"/>
        </w:rPr>
        <w:t xml:space="preserve">   </w:t>
      </w:r>
      <w:r>
        <w:rPr>
          <w:rFonts w:hint="eastAsia" w:ascii="楷体_GB2312" w:eastAsia="楷体_GB2312"/>
          <w:sz w:val="32"/>
          <w:szCs w:val="32"/>
        </w:rPr>
        <w:t xml:space="preserve"> 2、完善设施。</w:t>
      </w:r>
      <w:r>
        <w:rPr>
          <w:rFonts w:hint="eastAsia" w:ascii="仿宋_GB2312" w:eastAsia="仿宋_GB2312"/>
          <w:sz w:val="32"/>
          <w:szCs w:val="32"/>
        </w:rPr>
        <w:t>积极争取上级财政资金，进一步巩固基础设施，促使乡村旅游带动一方经济。</w:t>
      </w:r>
    </w:p>
    <w:p w14:paraId="18852569">
      <w:pPr>
        <w:ind w:firstLine="640" w:firstLineChars="200"/>
        <w:rPr>
          <w:rFonts w:ascii="仿宋_GB2312" w:eastAsia="仿宋_GB2312"/>
          <w:sz w:val="32"/>
          <w:szCs w:val="32"/>
        </w:rPr>
      </w:pPr>
      <w:r>
        <w:rPr>
          <w:rFonts w:hint="eastAsia" w:ascii="楷体_GB2312" w:eastAsia="楷体_GB2312"/>
          <w:sz w:val="32"/>
          <w:szCs w:val="32"/>
        </w:rPr>
        <w:t>3、培养高素质旅游人才。</w:t>
      </w:r>
      <w:r>
        <w:rPr>
          <w:rFonts w:hint="eastAsia" w:ascii="仿宋_GB2312" w:eastAsia="仿宋_GB2312"/>
          <w:sz w:val="32"/>
          <w:szCs w:val="32"/>
        </w:rPr>
        <w:t>加强对从业人员、经营人员、管理人员的培训，更新发展观念，提高发展水平。</w:t>
      </w:r>
    </w:p>
    <w:p w14:paraId="24FEFA01">
      <w:pPr>
        <w:ind w:firstLine="640" w:firstLineChars="200"/>
        <w:rPr>
          <w:rFonts w:ascii="仿宋_GB2312" w:eastAsia="仿宋_GB2312"/>
          <w:sz w:val="32"/>
          <w:szCs w:val="32"/>
        </w:rPr>
      </w:pPr>
      <w:r>
        <w:rPr>
          <w:rFonts w:hint="eastAsia" w:ascii="楷体_GB2312" w:eastAsia="楷体_GB2312"/>
          <w:sz w:val="32"/>
          <w:szCs w:val="32"/>
        </w:rPr>
        <w:t>4、加大宣传力度。</w:t>
      </w:r>
      <w:r>
        <w:rPr>
          <w:rFonts w:hint="eastAsia" w:ascii="仿宋_GB2312" w:eastAsia="仿宋_GB2312"/>
          <w:sz w:val="32"/>
          <w:szCs w:val="32"/>
        </w:rPr>
        <w:t>扩大对外交流，显示人文观念，宣传我旗特色旅游，广泛吸纳游客资源。</w:t>
      </w:r>
    </w:p>
    <w:p w14:paraId="5C08D65C">
      <w:pPr>
        <w:ind w:firstLine="640" w:firstLineChars="200"/>
        <w:rPr>
          <w:rFonts w:ascii="仿宋_GB2312" w:eastAsia="仿宋_GB2312"/>
          <w:sz w:val="32"/>
          <w:szCs w:val="32"/>
        </w:rPr>
      </w:pPr>
      <w:r>
        <w:rPr>
          <w:rFonts w:hint="eastAsia" w:ascii="楷体_GB2312" w:eastAsia="楷体_GB2312"/>
          <w:sz w:val="32"/>
          <w:szCs w:val="32"/>
        </w:rPr>
        <w:t>5、在“思想要大解放，工作要大提速，经济要大发展”的氛围中。</w:t>
      </w:r>
      <w:r>
        <w:rPr>
          <w:rFonts w:hint="eastAsia" w:ascii="仿宋_GB2312" w:eastAsia="仿宋_GB2312"/>
          <w:sz w:val="32"/>
          <w:szCs w:val="32"/>
        </w:rPr>
        <w:t>积极学习全国各地旅游业的优点，让我旗的旅游产业不但要有热度，更要有温度，全面叫响“全域皆风景，四季都能游”，带动喀旗经济再创辉煌。</w:t>
      </w:r>
    </w:p>
    <w:p w14:paraId="64DB46A7">
      <w:pPr>
        <w:spacing w:line="600" w:lineRule="exact"/>
        <w:rPr>
          <w:rFonts w:ascii="楷体_GB2312" w:hAnsi="楷体" w:eastAsia="楷体_GB2312" w:cs="仿宋_GB2312"/>
          <w:bCs/>
          <w:spacing w:val="-17"/>
          <w:sz w:val="32"/>
          <w:szCs w:val="32"/>
        </w:rPr>
      </w:pPr>
    </w:p>
    <w:p w14:paraId="49459530">
      <w:pPr>
        <w:spacing w:line="600" w:lineRule="exact"/>
        <w:rPr>
          <w:rFonts w:ascii="楷体_GB2312" w:hAnsi="楷体" w:eastAsia="楷体_GB2312" w:cs="仿宋_GB2312"/>
          <w:bCs/>
          <w:spacing w:val="-17"/>
          <w:sz w:val="32"/>
          <w:szCs w:val="32"/>
        </w:rPr>
      </w:pPr>
    </w:p>
    <w:p w14:paraId="03C712FD">
      <w:pPr>
        <w:spacing w:line="600" w:lineRule="exact"/>
        <w:rPr>
          <w:rFonts w:ascii="楷体_GB2312" w:hAnsi="楷体" w:eastAsia="楷体_GB2312" w:cs="仿宋_GB2312"/>
          <w:bCs/>
          <w:spacing w:val="-17"/>
          <w:sz w:val="32"/>
          <w:szCs w:val="32"/>
        </w:rPr>
      </w:pPr>
    </w:p>
    <w:p w14:paraId="563E15E5">
      <w:pPr>
        <w:spacing w:line="600" w:lineRule="exact"/>
        <w:rPr>
          <w:rFonts w:ascii="楷体_GB2312" w:hAnsi="楷体" w:eastAsia="楷体_GB2312" w:cs="仿宋_GB2312"/>
          <w:bCs/>
          <w:spacing w:val="-17"/>
          <w:sz w:val="32"/>
          <w:szCs w:val="32"/>
        </w:rPr>
      </w:pPr>
    </w:p>
    <w:p w14:paraId="5C99A77A">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提案编号：017</w:t>
      </w:r>
    </w:p>
    <w:p w14:paraId="07A9ADD8">
      <w:pPr>
        <w:widowControl/>
        <w:shd w:val="clear" w:color="auto" w:fill="FFFFFF"/>
        <w:jc w:val="left"/>
        <w:outlineLvl w:val="0"/>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提案名称：关于聚焦推动文旅产业深度融合发展的提案</w:t>
      </w:r>
    </w:p>
    <w:p w14:paraId="10F7CC10">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
          <w:w w:val="92"/>
          <w:kern w:val="0"/>
          <w:sz w:val="32"/>
          <w:szCs w:val="32"/>
          <w:fitText w:val="1184" w:id="-781552382"/>
        </w:rPr>
        <w:t xml:space="preserve">提 案 </w:t>
      </w:r>
      <w:r>
        <w:rPr>
          <w:rFonts w:hint="eastAsia" w:ascii="楷体_GB2312" w:hAnsi="楷体" w:eastAsia="楷体_GB2312" w:cs="仿宋_GB2312"/>
          <w:bCs/>
          <w:spacing w:val="2"/>
          <w:w w:val="92"/>
          <w:kern w:val="0"/>
          <w:sz w:val="32"/>
          <w:szCs w:val="32"/>
          <w:fitText w:val="1184" w:id="-781552382"/>
        </w:rPr>
        <w:t>人</w:t>
      </w:r>
      <w:r>
        <w:rPr>
          <w:rFonts w:hint="eastAsia" w:ascii="楷体_GB2312" w:hAnsi="楷体" w:eastAsia="楷体_GB2312" w:cs="仿宋_GB2312"/>
          <w:bCs/>
          <w:spacing w:val="-17"/>
          <w:sz w:val="32"/>
          <w:szCs w:val="32"/>
        </w:rPr>
        <w:t>：王颖</w:t>
      </w:r>
    </w:p>
    <w:p w14:paraId="78EF2765">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联系方式：15048621122</w:t>
      </w:r>
    </w:p>
    <w:p w14:paraId="73DF7A57">
      <w:r>
        <w:rPr>
          <w:rFonts w:hint="eastAsia" w:ascii="楷体_GB2312" w:hAnsi="楷体" w:eastAsia="楷体_GB2312" w:cs="仿宋_GB2312"/>
          <w:bCs/>
          <w:spacing w:val="256"/>
          <w:kern w:val="0"/>
          <w:sz w:val="32"/>
          <w:szCs w:val="32"/>
          <w:fitText w:val="1152" w:id="-781552381"/>
        </w:rPr>
        <w:t>界</w:t>
      </w:r>
      <w:r>
        <w:rPr>
          <w:rFonts w:hint="eastAsia" w:ascii="楷体_GB2312" w:hAnsi="楷体" w:eastAsia="楷体_GB2312" w:cs="仿宋_GB2312"/>
          <w:bCs/>
          <w:spacing w:val="0"/>
          <w:kern w:val="0"/>
          <w:sz w:val="32"/>
          <w:szCs w:val="32"/>
          <w:fitText w:val="1152" w:id="-781552381"/>
        </w:rPr>
        <w:t>别</w:t>
      </w:r>
      <w:r>
        <w:rPr>
          <w:rFonts w:hint="eastAsia" w:ascii="楷体_GB2312" w:hAnsi="楷体" w:eastAsia="楷体_GB2312" w:cs="仿宋_GB2312"/>
          <w:bCs/>
          <w:spacing w:val="-17"/>
          <w:sz w:val="32"/>
          <w:szCs w:val="32"/>
        </w:rPr>
        <w:t>：文化体育和新闻</w:t>
      </w:r>
    </w:p>
    <w:p w14:paraId="72C14C10">
      <w:pPr>
        <w:widowControl/>
        <w:shd w:val="clear" w:color="auto" w:fill="FFFFFF"/>
        <w:jc w:val="center"/>
        <w:outlineLvl w:val="0"/>
        <w:rPr>
          <w:rFonts w:ascii="方正小标宋简体" w:hAnsi="方正小标宋_GBK" w:eastAsia="方正小标宋简体" w:cs="方正小标宋_GBK"/>
          <w:color w:val="000000"/>
          <w:kern w:val="36"/>
          <w:sz w:val="44"/>
          <w:szCs w:val="44"/>
        </w:rPr>
      </w:pPr>
      <w:r>
        <w:rPr>
          <w:rFonts w:hint="eastAsia" w:ascii="方正小标宋简体" w:hAnsi="方正小标宋_GBK" w:eastAsia="方正小标宋简体" w:cs="方正小标宋_GBK"/>
          <w:color w:val="000000"/>
          <w:kern w:val="36"/>
          <w:sz w:val="44"/>
          <w:szCs w:val="44"/>
        </w:rPr>
        <w:t>关于聚焦推动文旅产业深度融合发展的</w:t>
      </w:r>
    </w:p>
    <w:p w14:paraId="13D0098E">
      <w:pPr>
        <w:widowControl/>
        <w:shd w:val="clear" w:color="auto" w:fill="FFFFFF"/>
        <w:jc w:val="center"/>
        <w:outlineLvl w:val="0"/>
        <w:rPr>
          <w:rFonts w:ascii="方正小标宋简体" w:hAnsi="方正小标宋_GBK" w:eastAsia="方正小标宋简体" w:cs="方正小标宋_GBK"/>
          <w:color w:val="000000"/>
          <w:kern w:val="36"/>
          <w:sz w:val="44"/>
          <w:szCs w:val="44"/>
        </w:rPr>
      </w:pPr>
      <w:r>
        <w:rPr>
          <w:rFonts w:hint="eastAsia" w:ascii="方正小标宋简体" w:hAnsi="方正小标宋_GBK" w:eastAsia="方正小标宋简体" w:cs="方正小标宋_GBK"/>
          <w:color w:val="000000"/>
          <w:kern w:val="36"/>
          <w:sz w:val="44"/>
          <w:szCs w:val="44"/>
        </w:rPr>
        <w:t>提案</w:t>
      </w:r>
    </w:p>
    <w:p w14:paraId="46C9797F"/>
    <w:p w14:paraId="57C143D1">
      <w:pPr>
        <w:spacing w:line="600" w:lineRule="exact"/>
        <w:rPr>
          <w:rStyle w:val="24"/>
          <w:rFonts w:ascii="黑体" w:hAnsi="黑体" w:eastAsia="黑体" w:cs="黑体"/>
          <w:b w:val="0"/>
          <w:bCs w:val="0"/>
        </w:rPr>
      </w:pPr>
      <w:r>
        <w:rPr>
          <w:rStyle w:val="24"/>
          <w:rFonts w:hint="eastAsia" w:ascii="黑体" w:hAnsi="黑体" w:eastAsia="黑体" w:cs="黑体"/>
        </w:rPr>
        <w:t>一、基本情况</w:t>
      </w:r>
    </w:p>
    <w:p w14:paraId="0CC9F4C3">
      <w:r>
        <w:rPr>
          <w:rFonts w:hint="eastAsia"/>
        </w:rPr>
        <w:t xml:space="preserve">    </w:t>
      </w:r>
      <w:r>
        <w:rPr>
          <w:rFonts w:hint="eastAsia" w:ascii="方正仿宋_GB2312" w:hAnsi="方正仿宋_GB2312" w:eastAsia="方正仿宋_GB2312" w:cs="方正仿宋_GB2312"/>
          <w:color w:val="000000"/>
          <w:kern w:val="0"/>
          <w:sz w:val="28"/>
          <w:szCs w:val="28"/>
        </w:rPr>
        <w:t>喀喇沁旗历史文化底蕴深厚，自然景观丰富多样，具有独特的自然与人文资源，在文旅产业发展方面已取得初步成效。当前，文旅产业已成为喀喇沁旗促进乡村全面振兴、经济社会发展的新增长点。然而，要实现更高质量的文旅产业发展，仍需进一步推动深度融合。</w:t>
      </w:r>
    </w:p>
    <w:p w14:paraId="555DC1BD">
      <w:pPr>
        <w:pStyle w:val="25"/>
        <w:numPr>
          <w:ilvl w:val="0"/>
          <w:numId w:val="5"/>
        </w:numPr>
        <w:ind w:firstLineChars="0"/>
        <w:rPr>
          <w:rStyle w:val="24"/>
          <w:b w:val="0"/>
          <w:bCs w:val="0"/>
        </w:rPr>
      </w:pPr>
      <w:r>
        <w:rPr>
          <w:rStyle w:val="24"/>
          <w:rFonts w:hint="eastAsia" w:ascii="黑体" w:hAnsi="黑体" w:eastAsia="黑体" w:cs="黑体"/>
        </w:rPr>
        <w:t>存在问题</w:t>
      </w:r>
    </w:p>
    <w:p w14:paraId="3E45AF5D">
      <w:pPr>
        <w:ind w:firstLine="320" w:firstLineChars="100"/>
        <w:rPr>
          <w:rFonts w:ascii="仿宋_GB2312" w:hAnsi="方正仿宋_GB2312" w:eastAsia="仿宋_GB2312" w:cs="方正仿宋_GB2312"/>
          <w:color w:val="000000"/>
          <w:kern w:val="0"/>
          <w:sz w:val="32"/>
          <w:szCs w:val="32"/>
        </w:rPr>
      </w:pPr>
      <w:r>
        <w:rPr>
          <w:rFonts w:hint="eastAsia" w:ascii="楷体_GB2312" w:hAnsi="宋体" w:eastAsia="楷体_GB2312" w:cs="宋体"/>
          <w:color w:val="000000"/>
          <w:kern w:val="0"/>
          <w:sz w:val="32"/>
          <w:szCs w:val="32"/>
        </w:rPr>
        <w:t>（一）</w:t>
      </w:r>
      <w:r>
        <w:rPr>
          <w:rFonts w:hint="eastAsia" w:ascii="楷体_GB2312" w:hAnsi="方正仿宋_GB2312" w:eastAsia="楷体_GB2312" w:cs="方正仿宋_GB2312"/>
          <w:color w:val="000000"/>
          <w:kern w:val="0"/>
          <w:sz w:val="32"/>
          <w:szCs w:val="32"/>
        </w:rPr>
        <w:t>旅游资源整合方面。</w:t>
      </w:r>
      <w:r>
        <w:rPr>
          <w:rFonts w:hint="eastAsia" w:ascii="仿宋_GB2312" w:hAnsi="方正仿宋_GB2312" w:eastAsia="仿宋_GB2312" w:cs="方正仿宋_GB2312"/>
          <w:color w:val="000000"/>
          <w:kern w:val="0"/>
          <w:sz w:val="32"/>
          <w:szCs w:val="32"/>
        </w:rPr>
        <w:t>虽已提出“清新喀喇沁、健康生态游”的定位，但在整合自然、人文资源深度开发上仍有提升空间。例如，虽然构建了以核心景区为支撑、乡村旅游重点村为补充的格局，但部分景区与乡村旅游点的联动不够紧密，未能完全形成协同发展的合力。</w:t>
      </w:r>
    </w:p>
    <w:p w14:paraId="77B23933">
      <w:pPr>
        <w:ind w:firstLine="640" w:firstLineChars="200"/>
        <w:rPr>
          <w:rFonts w:ascii="仿宋_GB2312" w:hAnsi="方正仿宋_GB2312" w:eastAsia="仿宋_GB2312" w:cs="方正仿宋_GB2312"/>
          <w:color w:val="000000"/>
          <w:kern w:val="0"/>
          <w:sz w:val="32"/>
          <w:szCs w:val="32"/>
        </w:rPr>
      </w:pPr>
      <w:r>
        <w:rPr>
          <w:rFonts w:hint="eastAsia" w:ascii="仿宋_GB2312" w:hAnsi="方正仿宋_GB2312" w:eastAsia="仿宋_GB2312" w:cs="方正仿宋_GB2312"/>
          <w:color w:val="000000"/>
          <w:kern w:val="0"/>
          <w:sz w:val="32"/>
          <w:szCs w:val="32"/>
        </w:rPr>
        <w:t>文化资源挖掘不足，众多历史文化遗迹和民俗文化内涵尚未充分展现，缺乏深度解读和系统性开发，难以形成具有独特吸引力的文化产品和旅游线路。</w:t>
      </w:r>
    </w:p>
    <w:p w14:paraId="6A32E899">
      <w:pPr>
        <w:ind w:firstLine="640" w:firstLineChars="200"/>
        <w:rPr>
          <w:rFonts w:ascii="仿宋_GB2312" w:hAnsi="方正仿宋_GB2312" w:eastAsia="仿宋_GB2312" w:cs="方正仿宋_GB2312"/>
          <w:color w:val="000000"/>
          <w:kern w:val="0"/>
          <w:sz w:val="32"/>
          <w:szCs w:val="32"/>
        </w:rPr>
      </w:pPr>
      <w:r>
        <w:rPr>
          <w:rFonts w:hint="eastAsia" w:ascii="仿宋_GB2312" w:hAnsi="方正仿宋_GB2312" w:eastAsia="仿宋_GB2312" w:cs="方正仿宋_GB2312"/>
          <w:color w:val="000000"/>
          <w:kern w:val="0"/>
          <w:sz w:val="32"/>
          <w:szCs w:val="32"/>
        </w:rPr>
        <w:t>产业协同效应不明显，文旅企业之间合作较少，各自为政，文化产业与旅游产业在项目规划、产品设计、市场推广等环节未能有效衔接，导致资源分散，无法形成合力，难以满足游客多样化、高品质的旅游需求。</w:t>
      </w:r>
    </w:p>
    <w:p w14:paraId="1DA502CB">
      <w:pPr>
        <w:ind w:firstLine="640" w:firstLineChars="200"/>
        <w:rPr>
          <w:rFonts w:ascii="仿宋_GB2312" w:hAnsi="方正仿宋_GB2312" w:eastAsia="仿宋_GB2312" w:cs="方正仿宋_GB2312"/>
          <w:color w:val="000000"/>
          <w:kern w:val="0"/>
          <w:sz w:val="32"/>
          <w:szCs w:val="32"/>
        </w:rPr>
      </w:pPr>
      <w:r>
        <w:rPr>
          <w:rFonts w:hint="eastAsia" w:ascii="仿宋_GB2312" w:hAnsi="方正仿宋_GB2312" w:eastAsia="仿宋_GB2312" w:cs="方正仿宋_GB2312"/>
          <w:color w:val="000000"/>
          <w:kern w:val="0"/>
          <w:sz w:val="32"/>
          <w:szCs w:val="32"/>
        </w:rPr>
        <w:t>旅游服务质量有待提高，部分景区基础设施建设不完善，交通、餐饮、住宿等配套服务存在短板。餐饮选择有限且品质参差不齐，住宿接待能力不足且缺乏特色，影响游客体验和口碑。</w:t>
      </w:r>
    </w:p>
    <w:p w14:paraId="704F3A66">
      <w:pPr>
        <w:ind w:firstLine="320" w:firstLineChars="100"/>
        <w:rPr>
          <w:rFonts w:ascii="仿宋_GB2312" w:hAnsi="方正仿宋_GB2312" w:eastAsia="仿宋_GB2312" w:cs="方正仿宋_GB2312"/>
          <w:color w:val="000000"/>
          <w:kern w:val="0"/>
          <w:sz w:val="32"/>
          <w:szCs w:val="32"/>
        </w:rPr>
      </w:pPr>
      <w:r>
        <w:rPr>
          <w:rFonts w:hint="eastAsia" w:ascii="楷体_GB2312" w:hAnsi="宋体" w:eastAsia="楷体_GB2312" w:cs="宋体"/>
          <w:color w:val="000000"/>
          <w:kern w:val="0"/>
          <w:sz w:val="32"/>
          <w:szCs w:val="32"/>
        </w:rPr>
        <w:t>（二）</w:t>
      </w:r>
      <w:r>
        <w:rPr>
          <w:rFonts w:hint="eastAsia" w:ascii="楷体_GB2312" w:hAnsi="方正仿宋_GB2312" w:eastAsia="楷体_GB2312" w:cs="方正仿宋_GB2312"/>
          <w:color w:val="000000"/>
          <w:kern w:val="0"/>
          <w:sz w:val="32"/>
          <w:szCs w:val="32"/>
        </w:rPr>
        <w:t>产业融合发展方面。</w:t>
      </w:r>
      <w:r>
        <w:rPr>
          <w:rFonts w:hint="eastAsia" w:ascii="仿宋_GB2312" w:hAnsi="方正仿宋_GB2312" w:eastAsia="仿宋_GB2312" w:cs="方正仿宋_GB2312"/>
          <w:color w:val="000000"/>
          <w:kern w:val="0"/>
          <w:sz w:val="32"/>
          <w:szCs w:val="32"/>
        </w:rPr>
        <w:t>在“旅游 + 文化”等融合发展模式下，存在融合形式较为单一的问题。文旅与其他产业如康养、体育等的融合深度和广度也需要进一步拓展。</w:t>
      </w:r>
    </w:p>
    <w:p w14:paraId="2929B7D7">
      <w:pPr>
        <w:ind w:firstLine="320" w:firstLineChars="100"/>
        <w:rPr>
          <w:rFonts w:ascii="仿宋_GB2312" w:hAnsi="方正仿宋_GB2312" w:eastAsia="仿宋_GB2312" w:cs="方正仿宋_GB2312"/>
          <w:color w:val="000000"/>
          <w:kern w:val="0"/>
          <w:sz w:val="32"/>
          <w:szCs w:val="32"/>
        </w:rPr>
      </w:pPr>
      <w:r>
        <w:rPr>
          <w:rFonts w:hint="eastAsia" w:ascii="楷体_GB2312" w:hAnsi="宋体" w:eastAsia="楷体_GB2312" w:cs="宋体"/>
          <w:color w:val="000000"/>
          <w:kern w:val="0"/>
          <w:sz w:val="32"/>
          <w:szCs w:val="32"/>
        </w:rPr>
        <w:t>（三）</w:t>
      </w:r>
      <w:r>
        <w:rPr>
          <w:rFonts w:hint="eastAsia" w:ascii="楷体_GB2312" w:hAnsi="方正仿宋_GB2312" w:eastAsia="楷体_GB2312" w:cs="方正仿宋_GB2312"/>
          <w:color w:val="000000"/>
          <w:kern w:val="0"/>
          <w:sz w:val="32"/>
          <w:szCs w:val="32"/>
        </w:rPr>
        <w:t>基础设施建设方面。</w:t>
      </w:r>
      <w:r>
        <w:rPr>
          <w:rFonts w:hint="eastAsia" w:ascii="仿宋_GB2312" w:hAnsi="方正仿宋_GB2312" w:eastAsia="仿宋_GB2312" w:cs="方正仿宋_GB2312"/>
          <w:color w:val="000000"/>
          <w:kern w:val="0"/>
          <w:sz w:val="32"/>
          <w:szCs w:val="32"/>
        </w:rPr>
        <w:t>虽然持续加强了旅游基础设施建设，如铺设旅游公路、完善游客中心等配套设施，但在面对旅游旺季时，部分基础设施仍面临较大压力，且部分地区旅游标识不够清晰准确。</w:t>
      </w:r>
    </w:p>
    <w:p w14:paraId="6A1D575A">
      <w:pPr>
        <w:ind w:firstLine="320" w:firstLineChars="100"/>
        <w:rPr>
          <w:rFonts w:ascii="仿宋_GB2312" w:hAnsi="方正仿宋_GB2312" w:eastAsia="仿宋_GB2312" w:cs="方正仿宋_GB2312"/>
          <w:color w:val="000000"/>
          <w:kern w:val="0"/>
          <w:sz w:val="32"/>
          <w:szCs w:val="32"/>
        </w:rPr>
      </w:pPr>
      <w:r>
        <w:rPr>
          <w:rFonts w:hint="eastAsia" w:ascii="楷体_GB2312" w:hAnsi="宋体" w:eastAsia="楷体_GB2312" w:cs="宋体"/>
          <w:color w:val="000000"/>
          <w:kern w:val="0"/>
          <w:sz w:val="32"/>
          <w:szCs w:val="32"/>
        </w:rPr>
        <w:t>（四）</w:t>
      </w:r>
      <w:r>
        <w:rPr>
          <w:rFonts w:hint="eastAsia" w:ascii="楷体_GB2312" w:hAnsi="方正仿宋_GB2312" w:eastAsia="楷体_GB2312" w:cs="方正仿宋_GB2312"/>
          <w:color w:val="000000"/>
          <w:kern w:val="0"/>
          <w:sz w:val="32"/>
          <w:szCs w:val="32"/>
        </w:rPr>
        <w:t>品牌建设与营销方面 。</w:t>
      </w:r>
      <w:r>
        <w:rPr>
          <w:rFonts w:hint="eastAsia" w:ascii="仿宋_GB2312" w:hAnsi="方正仿宋_GB2312" w:eastAsia="仿宋_GB2312" w:cs="方正仿宋_GB2312"/>
          <w:color w:val="000000"/>
          <w:kern w:val="0"/>
          <w:sz w:val="32"/>
          <w:szCs w:val="32"/>
        </w:rPr>
        <w:t>虽然打造了一些特色旅游品牌，如“舌尖上的喀喇沁”等，但在全国范围内的品牌知名度仍有待提高，旅游产品的营销渠道还可以进一步拓宽。</w:t>
      </w:r>
    </w:p>
    <w:p w14:paraId="609E4F1F">
      <w:pPr>
        <w:spacing w:line="600" w:lineRule="exact"/>
        <w:rPr>
          <w:rStyle w:val="24"/>
          <w:rFonts w:ascii="黑体" w:hAnsi="黑体" w:eastAsia="黑体" w:cs="黑体"/>
          <w:b w:val="0"/>
          <w:bCs w:val="0"/>
        </w:rPr>
      </w:pPr>
      <w:r>
        <w:rPr>
          <w:rStyle w:val="24"/>
          <w:rFonts w:hint="eastAsia" w:ascii="黑体" w:hAnsi="黑体" w:eastAsia="黑体" w:cs="黑体"/>
        </w:rPr>
        <w:t>三、建议</w:t>
      </w:r>
    </w:p>
    <w:p w14:paraId="65F7B5A3">
      <w:r>
        <w:rPr>
          <w:rFonts w:hint="eastAsia"/>
        </w:rPr>
        <w:t xml:space="preserve"> </w:t>
      </w:r>
    </w:p>
    <w:p w14:paraId="47EEB1E5">
      <w:pPr>
        <w:ind w:firstLine="320" w:firstLineChars="100"/>
        <w:rPr>
          <w:rFonts w:ascii="仿宋_GB2312" w:hAnsi="方正仿宋_GB2312" w:eastAsia="仿宋_GB2312" w:cs="方正仿宋_GB2312"/>
          <w:color w:val="000000"/>
          <w:kern w:val="0"/>
          <w:sz w:val="32"/>
          <w:szCs w:val="32"/>
        </w:rPr>
      </w:pPr>
      <w:r>
        <w:rPr>
          <w:rFonts w:hint="eastAsia" w:ascii="楷体_GB2312" w:hAnsi="宋体" w:eastAsia="楷体_GB2312" w:cs="宋体"/>
          <w:color w:val="000000"/>
          <w:kern w:val="0"/>
          <w:sz w:val="32"/>
          <w:szCs w:val="32"/>
        </w:rPr>
        <w:t>（一）</w:t>
      </w:r>
      <w:r>
        <w:rPr>
          <w:rFonts w:hint="eastAsia" w:ascii="楷体_GB2312" w:hAnsi="方正仿宋_GB2312" w:eastAsia="楷体_GB2312" w:cs="方正仿宋_GB2312"/>
          <w:color w:val="000000"/>
          <w:kern w:val="0"/>
          <w:sz w:val="32"/>
          <w:szCs w:val="32"/>
        </w:rPr>
        <w:t>深化资源整合与协同发展。</w:t>
      </w:r>
      <w:r>
        <w:rPr>
          <w:rFonts w:hint="eastAsia" w:ascii="仿宋_GB2312" w:hAnsi="方正仿宋_GB2312" w:eastAsia="仿宋_GB2312" w:cs="方正仿宋_GB2312"/>
          <w:color w:val="000000"/>
          <w:kern w:val="0"/>
          <w:sz w:val="32"/>
          <w:szCs w:val="32"/>
        </w:rPr>
        <w:t>建立统一的旅游资源管理机构，负责统筹规划全旗的旅游资源。加强核心景区与乡村旅游点之间的交通联系和线路整合，例如开发更多的环线旅游产品，将美林谷滑雪场、王爷府镇等不同类型景点串联起来。推动旅游与周边产业的协同发展规划，在区域层面实现旅游与农业、文化、体育等产业的联合营销与发展规划。</w:t>
      </w:r>
    </w:p>
    <w:p w14:paraId="6388E8FB">
      <w:pPr>
        <w:ind w:firstLine="640" w:firstLineChars="200"/>
        <w:rPr>
          <w:rFonts w:ascii="仿宋_GB2312" w:hAnsi="方正仿宋_GB2312" w:eastAsia="仿宋_GB2312" w:cs="方正仿宋_GB2312"/>
          <w:color w:val="000000"/>
          <w:kern w:val="0"/>
          <w:sz w:val="32"/>
          <w:szCs w:val="32"/>
        </w:rPr>
      </w:pPr>
      <w:r>
        <w:rPr>
          <w:rFonts w:hint="eastAsia" w:ascii="仿宋_GB2312" w:hAnsi="方正仿宋_GB2312" w:eastAsia="仿宋_GB2312" w:cs="方正仿宋_GB2312"/>
          <w:color w:val="000000"/>
          <w:kern w:val="0"/>
          <w:sz w:val="32"/>
          <w:szCs w:val="32"/>
        </w:rPr>
        <w:t>深入挖掘文化资源，由文旅部门牵头，组织专家学者和文化工作者对喀喇沁旗文化资源进行全面梳理和深度挖掘，打造具有地方特色的文化演艺节目、民俗体验活动，开发沉浸式体验项目等，将文化元素融入旅游产品中，让游客亲身参与传统手工艺制作、民俗活动表演等，增强游客的文化认同感和参与感。延长游客停留时间，提升旅游消费层次。</w:t>
      </w:r>
    </w:p>
    <w:p w14:paraId="276FEB6D">
      <w:pPr>
        <w:ind w:firstLine="320" w:firstLineChars="100"/>
        <w:rPr>
          <w:rFonts w:ascii="仿宋_GB2312" w:hAnsi="方正仿宋_GB2312" w:eastAsia="仿宋_GB2312" w:cs="方正仿宋_GB2312"/>
          <w:color w:val="000000"/>
          <w:kern w:val="0"/>
          <w:sz w:val="32"/>
          <w:szCs w:val="32"/>
        </w:rPr>
      </w:pPr>
      <w:r>
        <w:rPr>
          <w:rFonts w:hint="eastAsia" w:ascii="楷体_GB2312" w:hAnsi="宋体" w:eastAsia="楷体_GB2312" w:cs="宋体"/>
          <w:color w:val="000000"/>
          <w:kern w:val="0"/>
          <w:sz w:val="32"/>
          <w:szCs w:val="32"/>
        </w:rPr>
        <w:t>（二）</w:t>
      </w:r>
      <w:r>
        <w:rPr>
          <w:rFonts w:hint="eastAsia" w:ascii="楷体_GB2312" w:hAnsi="方正仿宋_GB2312" w:eastAsia="楷体_GB2312" w:cs="方正仿宋_GB2312"/>
          <w:color w:val="000000"/>
          <w:kern w:val="0"/>
          <w:sz w:val="32"/>
          <w:szCs w:val="32"/>
        </w:rPr>
        <w:t>创新产业融合发展模式。</w:t>
      </w:r>
      <w:r>
        <w:rPr>
          <w:rFonts w:hint="eastAsia" w:ascii="仿宋_GB2312" w:hAnsi="方正仿宋_GB2312" w:eastAsia="仿宋_GB2312" w:cs="方正仿宋_GB2312"/>
          <w:color w:val="000000"/>
          <w:kern w:val="0"/>
          <w:sz w:val="32"/>
          <w:szCs w:val="32"/>
        </w:rPr>
        <w:t>鼓励企业和创意团队开发复合型文旅产品。例如以喀喇沁旗的中蒙药材资源为基础，打造集药材种植体验、中医药文化展示、养生食疗、特色民宿为一体的中医药康养度假区。加强文旅产业与其他产业的跨界合作，举办更多融合性的活动。如在旅游旺季组织体育赛事与旅游节庆相结合的活动，吸引更多不同类型的游客。</w:t>
      </w:r>
    </w:p>
    <w:p w14:paraId="56007AD2">
      <w:pPr>
        <w:ind w:firstLine="320" w:firstLineChars="100"/>
        <w:rPr>
          <w:rFonts w:ascii="仿宋_GB2312" w:hAnsi="方正仿宋_GB2312" w:eastAsia="仿宋_GB2312" w:cs="方正仿宋_GB2312"/>
          <w:color w:val="000000"/>
          <w:kern w:val="0"/>
          <w:sz w:val="32"/>
          <w:szCs w:val="32"/>
        </w:rPr>
      </w:pPr>
      <w:r>
        <w:rPr>
          <w:rFonts w:hint="eastAsia" w:ascii="楷体_GB2312" w:hAnsi="宋体" w:eastAsia="楷体_GB2312" w:cs="宋体"/>
          <w:color w:val="000000"/>
          <w:kern w:val="0"/>
          <w:sz w:val="32"/>
          <w:szCs w:val="32"/>
        </w:rPr>
        <w:t>（三）</w:t>
      </w:r>
      <w:r>
        <w:rPr>
          <w:rFonts w:hint="eastAsia" w:ascii="楷体_GB2312" w:hAnsi="方正仿宋_GB2312" w:eastAsia="楷体_GB2312" w:cs="方正仿宋_GB2312"/>
          <w:color w:val="000000"/>
          <w:kern w:val="0"/>
          <w:sz w:val="32"/>
          <w:szCs w:val="32"/>
        </w:rPr>
        <w:t>加强基础设施建设的精细化布局。</w:t>
      </w:r>
      <w:r>
        <w:rPr>
          <w:rFonts w:hint="eastAsia" w:ascii="仿宋_GB2312" w:hAnsi="方正仿宋_GB2312" w:eastAsia="仿宋_GB2312" w:cs="方正仿宋_GB2312"/>
          <w:color w:val="000000"/>
          <w:kern w:val="0"/>
          <w:sz w:val="32"/>
          <w:szCs w:val="32"/>
        </w:rPr>
        <w:t>根据旅游大数据分析游客流量分布，有针对性地在游客集中的区域增加基础设施建设投入。例如在热门景区附近增加停车位、公共卫生间等设施。完善旅游标识系统，采用多语言标识，并加入智能导览功能，方便游客游览。</w:t>
      </w:r>
    </w:p>
    <w:p w14:paraId="63138934">
      <w:pPr>
        <w:ind w:firstLine="320" w:firstLineChars="100"/>
        <w:rPr>
          <w:rFonts w:ascii="仿宋_GB2312" w:hAnsi="方正仿宋_GB2312" w:eastAsia="仿宋_GB2312" w:cs="方正仿宋_GB2312"/>
          <w:color w:val="000000"/>
          <w:kern w:val="0"/>
          <w:sz w:val="32"/>
          <w:szCs w:val="32"/>
        </w:rPr>
      </w:pPr>
      <w:r>
        <w:rPr>
          <w:rFonts w:hint="eastAsia" w:ascii="楷体_GB2312" w:hAnsi="宋体" w:eastAsia="楷体_GB2312" w:cs="宋体"/>
          <w:color w:val="000000"/>
          <w:kern w:val="0"/>
          <w:sz w:val="32"/>
          <w:szCs w:val="32"/>
        </w:rPr>
        <w:t>（四）</w:t>
      </w:r>
      <w:r>
        <w:rPr>
          <w:rFonts w:hint="eastAsia" w:ascii="楷体_GB2312" w:hAnsi="方正仿宋_GB2312" w:eastAsia="楷体_GB2312" w:cs="方正仿宋_GB2312"/>
          <w:color w:val="000000"/>
          <w:kern w:val="0"/>
          <w:sz w:val="32"/>
          <w:szCs w:val="32"/>
        </w:rPr>
        <w:t>强化品牌建设与多元化营销。</w:t>
      </w:r>
      <w:r>
        <w:rPr>
          <w:rFonts w:hint="eastAsia" w:ascii="仿宋_GB2312" w:hAnsi="方正仿宋_GB2312" w:eastAsia="仿宋_GB2312" w:cs="方正仿宋_GB2312"/>
          <w:color w:val="000000"/>
          <w:kern w:val="0"/>
          <w:sz w:val="32"/>
          <w:szCs w:val="32"/>
        </w:rPr>
        <w:t>加大品牌宣传投入，邀请知名旅游达人、媒体到喀喇沁旗体验并宣传。利用短视频平台开展精准营销，制作具有吸引力的短视频展示喀喇沁旗的旅游资源和特色产品。积极与在线旅游平台合作，推出优惠旅游套餐，提高喀喇沁旗旅游产品的线上预订量。</w:t>
      </w:r>
    </w:p>
    <w:p w14:paraId="5B48042D">
      <w:pPr>
        <w:rPr>
          <w:rFonts w:ascii="仿宋_GB2312" w:eastAsia="仿宋_GB2312"/>
          <w:sz w:val="32"/>
          <w:szCs w:val="32"/>
        </w:rPr>
      </w:pPr>
    </w:p>
    <w:p w14:paraId="7B0D38D0">
      <w:pPr>
        <w:rPr>
          <w:rFonts w:ascii="楷体_GB2312" w:hAnsi="楷体_GB2312" w:eastAsia="楷体_GB2312" w:cs="楷体_GB2312"/>
          <w:sz w:val="32"/>
          <w:szCs w:val="32"/>
        </w:rPr>
      </w:pPr>
    </w:p>
    <w:p w14:paraId="7F3F6863">
      <w:pPr>
        <w:rPr>
          <w:rFonts w:ascii="楷体_GB2312" w:hAnsi="楷体_GB2312" w:eastAsia="楷体_GB2312" w:cs="楷体_GB2312"/>
          <w:sz w:val="32"/>
          <w:szCs w:val="32"/>
        </w:rPr>
      </w:pPr>
    </w:p>
    <w:p w14:paraId="63476B57">
      <w:pPr>
        <w:rPr>
          <w:rFonts w:ascii="楷体_GB2312" w:hAnsi="楷体_GB2312" w:eastAsia="楷体_GB2312" w:cs="楷体_GB2312"/>
          <w:sz w:val="32"/>
          <w:szCs w:val="32"/>
        </w:rPr>
      </w:pPr>
    </w:p>
    <w:p w14:paraId="1B2A7466">
      <w:pPr>
        <w:rPr>
          <w:rFonts w:ascii="楷体_GB2312" w:hAnsi="楷体_GB2312" w:eastAsia="楷体_GB2312" w:cs="楷体_GB2312"/>
          <w:sz w:val="32"/>
          <w:szCs w:val="32"/>
        </w:rPr>
      </w:pPr>
    </w:p>
    <w:p w14:paraId="70748F66">
      <w:pPr>
        <w:rPr>
          <w:rFonts w:ascii="楷体_GB2312" w:hAnsi="楷体_GB2312" w:eastAsia="楷体_GB2312" w:cs="楷体_GB2312"/>
          <w:sz w:val="32"/>
          <w:szCs w:val="32"/>
        </w:rPr>
      </w:pPr>
    </w:p>
    <w:p w14:paraId="574187B6">
      <w:pPr>
        <w:rPr>
          <w:rFonts w:ascii="楷体_GB2312" w:hAnsi="楷体_GB2312" w:eastAsia="楷体_GB2312" w:cs="楷体_GB2312"/>
          <w:sz w:val="32"/>
          <w:szCs w:val="32"/>
        </w:rPr>
      </w:pPr>
    </w:p>
    <w:p w14:paraId="560887E6">
      <w:pPr>
        <w:rPr>
          <w:rFonts w:ascii="楷体_GB2312" w:hAnsi="楷体_GB2312" w:eastAsia="楷体_GB2312" w:cs="楷体_GB2312"/>
          <w:sz w:val="32"/>
          <w:szCs w:val="32"/>
        </w:rPr>
      </w:pPr>
    </w:p>
    <w:p w14:paraId="531A1E23">
      <w:pPr>
        <w:rPr>
          <w:rFonts w:ascii="楷体_GB2312" w:hAnsi="楷体_GB2312" w:eastAsia="楷体_GB2312" w:cs="楷体_GB2312"/>
          <w:sz w:val="32"/>
          <w:szCs w:val="32"/>
        </w:rPr>
      </w:pPr>
    </w:p>
    <w:p w14:paraId="3C12879D">
      <w:pPr>
        <w:rPr>
          <w:rFonts w:ascii="楷体_GB2312" w:hAnsi="楷体_GB2312" w:eastAsia="楷体_GB2312" w:cs="楷体_GB2312"/>
          <w:sz w:val="32"/>
          <w:szCs w:val="32"/>
        </w:rPr>
      </w:pPr>
    </w:p>
    <w:p w14:paraId="67EBD28A">
      <w:pPr>
        <w:rPr>
          <w:rFonts w:ascii="楷体_GB2312" w:hAnsi="楷体_GB2312" w:eastAsia="楷体_GB2312" w:cs="楷体_GB2312"/>
          <w:sz w:val="32"/>
          <w:szCs w:val="32"/>
        </w:rPr>
      </w:pPr>
    </w:p>
    <w:p w14:paraId="0948D7CE">
      <w:pPr>
        <w:rPr>
          <w:rFonts w:ascii="楷体_GB2312" w:hAnsi="楷体_GB2312" w:eastAsia="楷体_GB2312" w:cs="楷体_GB2312"/>
          <w:sz w:val="32"/>
          <w:szCs w:val="32"/>
        </w:rPr>
      </w:pPr>
    </w:p>
    <w:p w14:paraId="3A523726">
      <w:pPr>
        <w:rPr>
          <w:rFonts w:ascii="楷体_GB2312" w:hAnsi="楷体_GB2312" w:eastAsia="楷体_GB2312" w:cs="楷体_GB2312"/>
          <w:sz w:val="32"/>
          <w:szCs w:val="32"/>
        </w:rPr>
      </w:pPr>
    </w:p>
    <w:p w14:paraId="025DE4EE">
      <w:pPr>
        <w:rPr>
          <w:rFonts w:ascii="楷体_GB2312" w:hAnsi="楷体_GB2312" w:eastAsia="楷体_GB2312" w:cs="楷体_GB2312"/>
          <w:sz w:val="32"/>
          <w:szCs w:val="32"/>
        </w:rPr>
      </w:pPr>
    </w:p>
    <w:p w14:paraId="4A0CEA59">
      <w:pPr>
        <w:rPr>
          <w:rFonts w:ascii="楷体_GB2312" w:hAnsi="楷体_GB2312" w:eastAsia="楷体_GB2312" w:cs="楷体_GB2312"/>
          <w:sz w:val="32"/>
          <w:szCs w:val="32"/>
        </w:rPr>
      </w:pPr>
    </w:p>
    <w:p w14:paraId="21F71317">
      <w:pPr>
        <w:rPr>
          <w:rFonts w:ascii="楷体_GB2312" w:hAnsi="楷体_GB2312" w:eastAsia="楷体_GB2312" w:cs="楷体_GB2312"/>
          <w:sz w:val="32"/>
          <w:szCs w:val="32"/>
        </w:rPr>
      </w:pPr>
    </w:p>
    <w:p w14:paraId="47B176DF">
      <w:pPr>
        <w:rPr>
          <w:rFonts w:ascii="楷体_GB2312" w:hAnsi="楷体_GB2312" w:eastAsia="楷体_GB2312" w:cs="楷体_GB2312"/>
          <w:sz w:val="32"/>
          <w:szCs w:val="32"/>
        </w:rPr>
      </w:pPr>
    </w:p>
    <w:p w14:paraId="66DF4787">
      <w:pPr>
        <w:rPr>
          <w:rFonts w:ascii="楷体_GB2312" w:hAnsi="楷体_GB2312" w:eastAsia="楷体_GB2312" w:cs="楷体_GB2312"/>
          <w:sz w:val="32"/>
          <w:szCs w:val="32"/>
        </w:rPr>
      </w:pPr>
    </w:p>
    <w:p w14:paraId="1A3E1F43">
      <w:pPr>
        <w:rPr>
          <w:rFonts w:ascii="楷体_GB2312" w:hAnsi="楷体_GB2312" w:eastAsia="楷体_GB2312" w:cs="楷体_GB2312"/>
          <w:sz w:val="32"/>
          <w:szCs w:val="32"/>
        </w:rPr>
      </w:pPr>
    </w:p>
    <w:p w14:paraId="4F5BD7A5">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提案编号:018</w:t>
      </w:r>
    </w:p>
    <w:p w14:paraId="4B652D5D">
      <w:pPr>
        <w:ind w:left="1600" w:hanging="1600" w:hangingChars="500"/>
        <w:rPr>
          <w:rFonts w:ascii="楷体_GB2312" w:hAnsi="楷体_GB2312" w:eastAsia="楷体_GB2312" w:cs="楷体_GB2312"/>
          <w:sz w:val="32"/>
          <w:szCs w:val="32"/>
        </w:rPr>
      </w:pPr>
      <w:r>
        <w:rPr>
          <w:rFonts w:hint="eastAsia" w:ascii="楷体_GB2312" w:hAnsi="楷体_GB2312" w:eastAsia="楷体_GB2312" w:cs="楷体_GB2312"/>
          <w:sz w:val="32"/>
          <w:szCs w:val="32"/>
        </w:rPr>
        <w:t>提案名称:</w:t>
      </w:r>
      <w:r>
        <w:rPr>
          <w:rFonts w:hint="eastAsia" w:ascii="楷体_GB2312" w:hAnsi="微软雅黑" w:eastAsia="楷体_GB2312"/>
          <w:color w:val="333333"/>
          <w:sz w:val="32"/>
          <w:szCs w:val="32"/>
        </w:rPr>
        <w:t>关于拓宽特色农产品销售渠道、增加农民收入的提案</w:t>
      </w:r>
    </w:p>
    <w:p w14:paraId="738A905D">
      <w:pPr>
        <w:spacing w:line="560" w:lineRule="exact"/>
        <w:rPr>
          <w:rFonts w:ascii="楷体_GB2312" w:eastAsia="楷体_GB2312"/>
          <w:spacing w:val="-17"/>
          <w:sz w:val="32"/>
          <w:szCs w:val="32"/>
        </w:rPr>
      </w:pPr>
      <w:r>
        <w:rPr>
          <w:rFonts w:hint="eastAsia" w:ascii="楷体_GB2312" w:hAnsi="楷体_GB2312" w:eastAsia="楷体_GB2312" w:cs="楷体_GB2312"/>
          <w:sz w:val="32"/>
          <w:szCs w:val="32"/>
        </w:rPr>
        <w:t>提 案 人:王小龙</w:t>
      </w:r>
    </w:p>
    <w:p w14:paraId="33CA04F3">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联系方式：15049619611</w:t>
      </w:r>
    </w:p>
    <w:p w14:paraId="4A4AB0F5">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别:经济企业</w:t>
      </w:r>
    </w:p>
    <w:p w14:paraId="0072CCE8">
      <w:pPr>
        <w:pStyle w:val="11"/>
        <w:spacing w:before="225" w:beforeAutospacing="0" w:afterAutospacing="0" w:line="420" w:lineRule="atLeast"/>
        <w:ind w:firstLine="480"/>
        <w:jc w:val="center"/>
        <w:rPr>
          <w:rFonts w:ascii="方正小标宋简体" w:hAnsi="微软雅黑" w:eastAsia="方正小标宋简体"/>
          <w:color w:val="333333"/>
          <w:sz w:val="44"/>
          <w:szCs w:val="44"/>
        </w:rPr>
      </w:pPr>
      <w:r>
        <w:rPr>
          <w:rFonts w:hint="eastAsia" w:ascii="方正小标宋简体" w:hAnsi="微软雅黑" w:eastAsia="方正小标宋简体"/>
          <w:color w:val="333333"/>
          <w:sz w:val="44"/>
          <w:szCs w:val="44"/>
        </w:rPr>
        <w:t>关于拓宽特色农产品销售渠道、增加农民收入的提案</w:t>
      </w:r>
    </w:p>
    <w:p w14:paraId="67B2833E">
      <w:pPr>
        <w:pStyle w:val="11"/>
        <w:spacing w:before="225" w:beforeAutospacing="0" w:afterAutospacing="0" w:line="420" w:lineRule="atLeast"/>
        <w:ind w:firstLine="480"/>
        <w:rPr>
          <w:rFonts w:ascii="黑体" w:hAnsi="黑体" w:eastAsia="黑体"/>
          <w:color w:val="333333"/>
          <w:sz w:val="32"/>
          <w:szCs w:val="32"/>
        </w:rPr>
      </w:pPr>
      <w:r>
        <w:rPr>
          <w:rFonts w:hint="eastAsia" w:ascii="黑体" w:hAnsi="黑体" w:eastAsia="黑体"/>
          <w:color w:val="333333"/>
          <w:sz w:val="32"/>
          <w:szCs w:val="32"/>
        </w:rPr>
        <w:t>一、我旗特色农产品销售现状</w:t>
      </w:r>
    </w:p>
    <w:p w14:paraId="65147A10">
      <w:pPr>
        <w:pStyle w:val="11"/>
        <w:spacing w:before="225" w:beforeAutospacing="0" w:afterAutospacing="0" w:line="420" w:lineRule="atLeast"/>
        <w:ind w:firstLine="480"/>
        <w:rPr>
          <w:rFonts w:ascii="仿宋_GB2312" w:hAnsi="微软雅黑" w:eastAsia="仿宋_GB2312"/>
          <w:color w:val="333333"/>
          <w:sz w:val="32"/>
          <w:szCs w:val="32"/>
        </w:rPr>
      </w:pPr>
      <w:r>
        <w:rPr>
          <w:rFonts w:hint="eastAsia" w:ascii="仿宋_GB2312" w:hAnsi="微软雅黑" w:eastAsia="仿宋_GB2312"/>
          <w:color w:val="333333"/>
          <w:sz w:val="32"/>
          <w:szCs w:val="32"/>
        </w:rPr>
        <w:t>我旗特色农产品销售渠道主要还是采用批发、零售等传统模式，渠道较窄，且缺少吸引消费者的卖点，造成销售价格相对较低，产生的附加值小，有时还会受到市场波动的影响，出现滞销情况，农民的收入得不到保障。</w:t>
      </w:r>
    </w:p>
    <w:p w14:paraId="0CC989C4">
      <w:pPr>
        <w:pStyle w:val="11"/>
        <w:spacing w:before="225" w:beforeAutospacing="0" w:afterAutospacing="0" w:line="420" w:lineRule="atLeast"/>
        <w:ind w:firstLine="480"/>
        <w:rPr>
          <w:rFonts w:ascii="黑体" w:hAnsi="黑体" w:eastAsia="黑体"/>
          <w:color w:val="333333"/>
          <w:sz w:val="32"/>
          <w:szCs w:val="32"/>
        </w:rPr>
      </w:pPr>
      <w:r>
        <w:rPr>
          <w:rFonts w:hint="eastAsia" w:ascii="黑体" w:hAnsi="黑体" w:eastAsia="黑体"/>
          <w:color w:val="333333"/>
          <w:sz w:val="32"/>
          <w:szCs w:val="32"/>
        </w:rPr>
        <w:t>二、存在问题原因分析</w:t>
      </w:r>
    </w:p>
    <w:p w14:paraId="3FFF3C64">
      <w:pPr>
        <w:pStyle w:val="11"/>
        <w:spacing w:before="225" w:beforeAutospacing="0" w:afterAutospacing="0" w:line="420" w:lineRule="atLeast"/>
        <w:ind w:firstLine="480"/>
        <w:rPr>
          <w:rFonts w:ascii="仿宋_GB2312" w:hAnsi="微软雅黑" w:eastAsia="仿宋_GB2312"/>
          <w:color w:val="333333"/>
          <w:sz w:val="32"/>
          <w:szCs w:val="32"/>
        </w:rPr>
      </w:pPr>
      <w:r>
        <w:rPr>
          <w:rFonts w:hint="eastAsia" w:ascii="仿宋_GB2312" w:hAnsi="微软雅黑" w:eastAsia="仿宋_GB2312"/>
          <w:color w:val="333333"/>
          <w:sz w:val="32"/>
          <w:szCs w:val="32"/>
        </w:rPr>
        <w:t>我旗大部分农户的品牌意识不强，“酒香也怕巷子深”，对消费者的购买吸引力不足。同时，缺乏政策引导和方法宣传，加之农户对于新鲜事物的接受渠道较窄，造成农户普遍对线上销售、平台合作等新型销售模式认识不足。上述原因导致了特色农产品的销售大部分还停留在传统销售模式上，销售渠道单一受限。</w:t>
      </w:r>
    </w:p>
    <w:p w14:paraId="0A29F85E">
      <w:pPr>
        <w:pStyle w:val="11"/>
        <w:spacing w:before="225" w:beforeAutospacing="0" w:afterAutospacing="0" w:line="420" w:lineRule="atLeast"/>
        <w:ind w:firstLine="480"/>
        <w:rPr>
          <w:rFonts w:ascii="黑体" w:hAnsi="黑体" w:eastAsia="黑体"/>
          <w:color w:val="333333"/>
          <w:sz w:val="32"/>
          <w:szCs w:val="32"/>
        </w:rPr>
      </w:pPr>
      <w:r>
        <w:rPr>
          <w:rFonts w:hint="eastAsia" w:ascii="黑体" w:hAnsi="黑体" w:eastAsia="黑体"/>
          <w:color w:val="333333"/>
          <w:sz w:val="32"/>
          <w:szCs w:val="32"/>
        </w:rPr>
        <w:t>三、几点建议</w:t>
      </w:r>
    </w:p>
    <w:p w14:paraId="5E247F11">
      <w:pPr>
        <w:pStyle w:val="11"/>
        <w:spacing w:before="225" w:beforeAutospacing="0" w:afterAutospacing="0" w:line="420" w:lineRule="atLeast"/>
        <w:ind w:firstLine="480"/>
        <w:rPr>
          <w:rFonts w:ascii="仿宋_GB2312" w:hAnsi="微软雅黑" w:eastAsia="仿宋_GB2312"/>
          <w:color w:val="333333"/>
          <w:sz w:val="32"/>
          <w:szCs w:val="32"/>
        </w:rPr>
      </w:pPr>
      <w:r>
        <w:rPr>
          <w:rFonts w:hint="eastAsia" w:ascii="楷体_GB2312" w:hAnsi="微软雅黑" w:eastAsia="楷体_GB2312"/>
          <w:color w:val="333333"/>
          <w:sz w:val="32"/>
          <w:szCs w:val="32"/>
        </w:rPr>
        <w:t>（一）做好对特色农产品销售的指导。</w:t>
      </w:r>
      <w:r>
        <w:rPr>
          <w:rFonts w:hint="eastAsia" w:ascii="仿宋_GB2312" w:hAnsi="微软雅黑" w:eastAsia="仿宋_GB2312"/>
          <w:color w:val="333333"/>
          <w:sz w:val="32"/>
          <w:szCs w:val="32"/>
        </w:rPr>
        <w:t>加大新型销售方式的政策倾斜，大力推广直播带货、电商平台销售模式，帮助农户寻找合适的合作平台，利用好“网红”资源推介特色农产品。</w:t>
      </w:r>
    </w:p>
    <w:p w14:paraId="6ED057DD">
      <w:pPr>
        <w:pStyle w:val="11"/>
        <w:spacing w:before="225" w:beforeAutospacing="0" w:afterAutospacing="0" w:line="420" w:lineRule="atLeast"/>
        <w:ind w:firstLine="480"/>
        <w:rPr>
          <w:rFonts w:ascii="仿宋_GB2312" w:hAnsi="微软雅黑" w:eastAsia="仿宋_GB2312"/>
          <w:color w:val="333333"/>
          <w:sz w:val="32"/>
          <w:szCs w:val="32"/>
        </w:rPr>
      </w:pPr>
      <w:r>
        <w:rPr>
          <w:rFonts w:hint="eastAsia" w:ascii="楷体_GB2312" w:hAnsi="微软雅黑" w:eastAsia="楷体_GB2312"/>
          <w:color w:val="333333"/>
          <w:sz w:val="32"/>
          <w:szCs w:val="32"/>
        </w:rPr>
        <w:t>（二）积极搭建交流平台。</w:t>
      </w:r>
      <w:r>
        <w:rPr>
          <w:rFonts w:hint="eastAsia" w:ascii="仿宋_GB2312" w:hAnsi="微软雅黑" w:eastAsia="仿宋_GB2312"/>
          <w:color w:val="333333"/>
          <w:sz w:val="32"/>
          <w:szCs w:val="32"/>
        </w:rPr>
        <w:t>与线上销售平台签订销售合作协议或与大型超市建立稳定的销售联系，帮助农户拓宽销售渠道。</w:t>
      </w:r>
    </w:p>
    <w:p w14:paraId="618253EB">
      <w:pPr>
        <w:pStyle w:val="11"/>
        <w:spacing w:before="225" w:beforeAutospacing="0" w:afterAutospacing="0" w:line="420" w:lineRule="atLeast"/>
        <w:ind w:firstLine="480"/>
        <w:rPr>
          <w:rFonts w:ascii="仿宋_GB2312" w:hAnsi="微软雅黑" w:eastAsia="仿宋_GB2312"/>
          <w:color w:val="333333"/>
          <w:sz w:val="32"/>
          <w:szCs w:val="32"/>
        </w:rPr>
      </w:pPr>
      <w:r>
        <w:rPr>
          <w:rFonts w:hint="eastAsia" w:ascii="楷体_GB2312" w:hAnsi="微软雅黑" w:eastAsia="楷体_GB2312"/>
          <w:color w:val="333333"/>
          <w:sz w:val="32"/>
          <w:szCs w:val="32"/>
        </w:rPr>
        <w:t>（三）培育能够代表我旗的“地标”型农产品品牌。</w:t>
      </w:r>
      <w:r>
        <w:rPr>
          <w:rFonts w:hint="eastAsia" w:ascii="仿宋_GB2312" w:hAnsi="微软雅黑" w:eastAsia="仿宋_GB2312"/>
          <w:color w:val="333333"/>
          <w:sz w:val="32"/>
          <w:szCs w:val="32"/>
        </w:rPr>
        <w:t>实现规模化生产和品牌化运作，提炼地方特色和品牌吸引力。同时积极联系科研单位，建立研发能力，促进品牌的可持续发展。</w:t>
      </w:r>
    </w:p>
    <w:p w14:paraId="559ACB70">
      <w:pPr>
        <w:pStyle w:val="11"/>
        <w:spacing w:before="225" w:beforeAutospacing="0" w:afterAutospacing="0" w:line="420" w:lineRule="atLeast"/>
        <w:ind w:firstLine="480"/>
        <w:rPr>
          <w:rFonts w:ascii="仿宋_GB2312" w:hAnsi="微软雅黑" w:eastAsia="仿宋_GB2312"/>
          <w:color w:val="333333"/>
          <w:sz w:val="32"/>
          <w:szCs w:val="32"/>
        </w:rPr>
      </w:pPr>
      <w:r>
        <w:rPr>
          <w:rFonts w:hint="eastAsia" w:ascii="楷体_GB2312" w:hAnsi="微软雅黑" w:eastAsia="楷体_GB2312"/>
          <w:color w:val="333333"/>
          <w:sz w:val="32"/>
          <w:szCs w:val="32"/>
        </w:rPr>
        <w:t>（四）优化物流配送。</w:t>
      </w:r>
      <w:r>
        <w:rPr>
          <w:rFonts w:hint="eastAsia" w:ascii="仿宋_GB2312" w:hAnsi="微软雅黑" w:eastAsia="仿宋_GB2312"/>
          <w:color w:val="333333"/>
          <w:sz w:val="32"/>
          <w:szCs w:val="32"/>
        </w:rPr>
        <w:t>大力推进现代冷链物流项目建设，解决农产品冷藏运输难题和转运问题，让特色农产品的销售半径不断扩大。</w:t>
      </w:r>
    </w:p>
    <w:p w14:paraId="30019BF1"/>
    <w:p w14:paraId="685FE632">
      <w:pPr>
        <w:spacing w:line="600" w:lineRule="exact"/>
        <w:rPr>
          <w:rFonts w:ascii="楷体_GB2312" w:hAnsi="楷体" w:eastAsia="楷体_GB2312" w:cs="仿宋_GB2312"/>
          <w:bCs/>
          <w:spacing w:val="-17"/>
          <w:sz w:val="32"/>
          <w:szCs w:val="32"/>
        </w:rPr>
      </w:pPr>
    </w:p>
    <w:p w14:paraId="134EC576">
      <w:pPr>
        <w:spacing w:line="600" w:lineRule="exact"/>
        <w:rPr>
          <w:rFonts w:ascii="楷体_GB2312" w:hAnsi="楷体" w:eastAsia="楷体_GB2312" w:cs="仿宋_GB2312"/>
          <w:bCs/>
          <w:spacing w:val="-17"/>
          <w:sz w:val="32"/>
          <w:szCs w:val="32"/>
        </w:rPr>
      </w:pPr>
    </w:p>
    <w:p w14:paraId="3503D49E">
      <w:pPr>
        <w:spacing w:line="600" w:lineRule="exact"/>
        <w:rPr>
          <w:rFonts w:ascii="楷体_GB2312" w:hAnsi="楷体" w:eastAsia="楷体_GB2312" w:cs="仿宋_GB2312"/>
          <w:bCs/>
          <w:spacing w:val="-17"/>
          <w:sz w:val="32"/>
          <w:szCs w:val="32"/>
        </w:rPr>
      </w:pPr>
    </w:p>
    <w:p w14:paraId="64FE428A">
      <w:pPr>
        <w:spacing w:line="600" w:lineRule="exact"/>
        <w:rPr>
          <w:rFonts w:ascii="楷体_GB2312" w:hAnsi="楷体" w:eastAsia="楷体_GB2312" w:cs="仿宋_GB2312"/>
          <w:bCs/>
          <w:spacing w:val="-17"/>
          <w:sz w:val="32"/>
          <w:szCs w:val="32"/>
        </w:rPr>
      </w:pPr>
    </w:p>
    <w:p w14:paraId="6A378C33">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提案编号：019</w:t>
      </w:r>
    </w:p>
    <w:p w14:paraId="64E15003">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提案名称：关于推动喀喇沁旗体育文旅产业融合发展的提案</w:t>
      </w:r>
    </w:p>
    <w:p w14:paraId="04D859C5">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30"/>
          <w:sz w:val="32"/>
          <w:szCs w:val="32"/>
        </w:rPr>
        <w:t>提  案  人</w:t>
      </w:r>
      <w:r>
        <w:rPr>
          <w:rFonts w:hint="eastAsia" w:ascii="楷体_GB2312" w:hAnsi="楷体" w:eastAsia="楷体_GB2312" w:cs="仿宋_GB2312"/>
          <w:sz w:val="32"/>
          <w:szCs w:val="32"/>
        </w:rPr>
        <w:t>：</w:t>
      </w:r>
      <w:r>
        <w:rPr>
          <w:rFonts w:hint="eastAsia" w:ascii="楷体_GB2312" w:hAnsi="楷体" w:eastAsia="楷体_GB2312" w:cs="仿宋_GB2312"/>
          <w:bCs/>
          <w:spacing w:val="-17"/>
          <w:sz w:val="32"/>
          <w:szCs w:val="32"/>
        </w:rPr>
        <w:t>刘思雨</w:t>
      </w:r>
    </w:p>
    <w:p w14:paraId="23D01315">
      <w:pPr>
        <w:spacing w:line="600" w:lineRule="exact"/>
        <w:rPr>
          <w:rFonts w:ascii="楷体_GB2312" w:hAnsi="楷体" w:eastAsia="楷体_GB2312" w:cs="仿宋_GB2312"/>
          <w:sz w:val="32"/>
          <w:szCs w:val="32"/>
        </w:rPr>
      </w:pPr>
      <w:r>
        <w:rPr>
          <w:rFonts w:hint="eastAsia" w:ascii="楷体_GB2312" w:hAnsi="楷体" w:eastAsia="楷体_GB2312" w:cs="仿宋_GB2312"/>
          <w:bCs/>
          <w:spacing w:val="-17"/>
          <w:sz w:val="32"/>
          <w:szCs w:val="32"/>
        </w:rPr>
        <w:t>联系方式</w:t>
      </w:r>
      <w:r>
        <w:rPr>
          <w:rFonts w:hint="eastAsia" w:ascii="楷体_GB2312" w:hAnsi="楷体" w:eastAsia="楷体_GB2312" w:cs="仿宋_GB2312"/>
          <w:sz w:val="32"/>
          <w:szCs w:val="32"/>
        </w:rPr>
        <w:t>：1</w:t>
      </w:r>
      <w:r>
        <w:rPr>
          <w:rFonts w:ascii="楷体_GB2312" w:hAnsi="楷体" w:eastAsia="楷体_GB2312" w:cs="仿宋_GB2312"/>
          <w:sz w:val="32"/>
          <w:szCs w:val="32"/>
        </w:rPr>
        <w:t>5004712417</w:t>
      </w:r>
    </w:p>
    <w:p w14:paraId="4D7387E8">
      <w:pPr>
        <w:spacing w:line="600" w:lineRule="exact"/>
        <w:rPr>
          <w:rFonts w:ascii="楷体_GB2312" w:hAnsi="仿宋" w:eastAsia="楷体_GB2312"/>
          <w:sz w:val="32"/>
          <w:szCs w:val="32"/>
        </w:rPr>
      </w:pPr>
      <w:r>
        <w:rPr>
          <w:rFonts w:hint="eastAsia" w:ascii="楷体_GB2312" w:hAnsi="仿宋" w:eastAsia="楷体_GB2312"/>
          <w:sz w:val="32"/>
          <w:szCs w:val="32"/>
        </w:rPr>
        <w:t>界   别：特别邀请和归侨侨眷</w:t>
      </w:r>
    </w:p>
    <w:p w14:paraId="195F2BE3">
      <w:pPr>
        <w:spacing w:line="60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关于推动喀喇沁旗体育文旅产业融合发展的提案</w:t>
      </w:r>
    </w:p>
    <w:p w14:paraId="00BA427D">
      <w:pPr>
        <w:spacing w:line="600" w:lineRule="exact"/>
        <w:ind w:firstLine="640"/>
        <w:rPr>
          <w:rFonts w:ascii="黑体" w:hAnsi="黑体" w:eastAsia="黑体"/>
          <w:sz w:val="32"/>
          <w:szCs w:val="32"/>
        </w:rPr>
      </w:pPr>
      <w:r>
        <w:rPr>
          <w:rFonts w:hint="eastAsia" w:ascii="黑体" w:hAnsi="黑体" w:eastAsia="黑体"/>
          <w:sz w:val="32"/>
          <w:szCs w:val="32"/>
        </w:rPr>
        <w:t>一、基本情况</w:t>
      </w:r>
    </w:p>
    <w:p w14:paraId="561DE7D6">
      <w:pPr>
        <w:spacing w:line="560" w:lineRule="exact"/>
        <w:ind w:firstLine="641"/>
        <w:rPr>
          <w:rFonts w:ascii="仿宋_GB2312" w:hAnsi="仿宋" w:eastAsia="仿宋_GB2312"/>
          <w:sz w:val="32"/>
          <w:szCs w:val="32"/>
        </w:rPr>
      </w:pPr>
      <w:r>
        <w:rPr>
          <w:rFonts w:hint="eastAsia" w:ascii="仿宋_GB2312" w:hAnsi="仿宋" w:eastAsia="仿宋_GB2312"/>
          <w:sz w:val="32"/>
          <w:szCs w:val="32"/>
        </w:rPr>
        <w:t xml:space="preserve">喀喇沁旗坐拥丰富的自然景观与深厚的历史文化底蕴，发展体育文旅产业具有得天独厚的优势。如今，随着大众对高品质生活追求的提升，体育与文旅融合的需求日益旺盛。“世界杯”作为全球体育赛事的标杆，它在赛事运营、品牌打造、文旅拉动等诸多领域的成功实践，为喀喇沁旗提供了极具价值的借鉴范例。举办各类特色体育赛事，能够成为串联起全旗文旅资源的纽带，不仅能促进体育健身在民众间的普及，还将加速全域文旅产业融合进程，为喀喇沁旗的高质量发展开拓全新路径。 </w:t>
      </w:r>
    </w:p>
    <w:p w14:paraId="5C0FC573">
      <w:pPr>
        <w:spacing w:line="600" w:lineRule="exact"/>
        <w:ind w:firstLine="640" w:firstLineChars="200"/>
        <w:rPr>
          <w:rFonts w:ascii="黑体" w:hAnsi="黑体" w:eastAsia="黑体"/>
          <w:sz w:val="32"/>
          <w:szCs w:val="32"/>
        </w:rPr>
      </w:pPr>
      <w:r>
        <w:rPr>
          <w:rFonts w:hint="eastAsia" w:ascii="黑体" w:hAnsi="黑体" w:eastAsia="黑体"/>
          <w:sz w:val="32"/>
          <w:szCs w:val="32"/>
        </w:rPr>
        <w:t>二、存在问题</w:t>
      </w:r>
    </w:p>
    <w:p w14:paraId="71F3A0B3">
      <w:pPr>
        <w:spacing w:line="600" w:lineRule="exact"/>
        <w:ind w:firstLine="320" w:firstLineChars="100"/>
        <w:rPr>
          <w:rFonts w:ascii="仿宋_GB2312" w:hAnsi="仿宋" w:eastAsia="仿宋_GB2312"/>
          <w:sz w:val="32"/>
          <w:szCs w:val="32"/>
        </w:rPr>
      </w:pPr>
      <w:r>
        <w:rPr>
          <w:rFonts w:hint="eastAsia" w:ascii="楷体_GB2312" w:hAnsi="仿宋" w:eastAsia="楷体_GB2312"/>
          <w:sz w:val="32"/>
          <w:szCs w:val="32"/>
        </w:rPr>
        <w:t>（一）融合深度不足。</w:t>
      </w:r>
      <w:r>
        <w:rPr>
          <w:rFonts w:hint="eastAsia" w:ascii="仿宋_GB2312" w:hAnsi="仿宋" w:eastAsia="仿宋_GB2312"/>
          <w:b/>
          <w:sz w:val="32"/>
          <w:szCs w:val="32"/>
        </w:rPr>
        <w:t>一是</w:t>
      </w:r>
      <w:r>
        <w:rPr>
          <w:rFonts w:hint="eastAsia" w:ascii="仿宋_GB2312" w:hAnsi="仿宋" w:eastAsia="仿宋_GB2312"/>
          <w:sz w:val="32"/>
          <w:szCs w:val="32"/>
        </w:rPr>
        <w:t>规划协同缺失，文旅、体育部门规划相对独立，缺乏统一的顶层设计。体育赛事场地布局未充分考量周边文旅资源整合，旅游景区开发也未预留体育赛事承载空间，二者难以形成有机互动，无法构建完整的“体育 + 文旅”消费链条。</w:t>
      </w:r>
    </w:p>
    <w:p w14:paraId="7B823767">
      <w:pPr>
        <w:spacing w:line="600" w:lineRule="exact"/>
        <w:ind w:firstLine="321" w:firstLineChars="100"/>
        <w:rPr>
          <w:rFonts w:ascii="仿宋_GB2312" w:hAnsi="仿宋" w:eastAsia="仿宋_GB2312"/>
          <w:sz w:val="32"/>
          <w:szCs w:val="32"/>
        </w:rPr>
      </w:pPr>
      <w:r>
        <w:rPr>
          <w:rFonts w:hint="eastAsia" w:ascii="仿宋_GB2312" w:hAnsi="仿宋" w:eastAsia="仿宋_GB2312"/>
          <w:b/>
          <w:sz w:val="32"/>
          <w:szCs w:val="32"/>
        </w:rPr>
        <w:t>二是</w:t>
      </w:r>
      <w:r>
        <w:rPr>
          <w:rFonts w:hint="eastAsia" w:ascii="仿宋_GB2312" w:hAnsi="仿宋" w:eastAsia="仿宋_GB2312"/>
          <w:sz w:val="32"/>
          <w:szCs w:val="32"/>
        </w:rPr>
        <w:t>文化内涵挖掘浅表：举办体育赛事时，未能将喀喇沁旗独特的民俗文化、历史故事深度融入其中，赛事形式单一，缺乏文化仪式感。</w:t>
      </w:r>
    </w:p>
    <w:p w14:paraId="19D4B6D4">
      <w:pPr>
        <w:spacing w:line="600" w:lineRule="exact"/>
        <w:ind w:firstLine="320" w:firstLineChars="100"/>
        <w:rPr>
          <w:rFonts w:ascii="楷体_GB2312" w:hAnsi="仿宋" w:eastAsia="楷体_GB2312"/>
          <w:sz w:val="32"/>
          <w:szCs w:val="32"/>
        </w:rPr>
      </w:pPr>
      <w:r>
        <w:rPr>
          <w:rFonts w:hint="eastAsia" w:ascii="楷体_GB2312" w:hAnsi="仿宋" w:eastAsia="楷体_GB2312"/>
          <w:sz w:val="32"/>
          <w:szCs w:val="32"/>
        </w:rPr>
        <w:t>（二）赛事资源短板</w:t>
      </w:r>
    </w:p>
    <w:p w14:paraId="26823DF6">
      <w:pPr>
        <w:spacing w:line="600" w:lineRule="exact"/>
        <w:ind w:firstLine="320" w:firstLineChars="100"/>
        <w:rPr>
          <w:rFonts w:ascii="仿宋_GB2312" w:hAnsi="仿宋" w:eastAsia="仿宋_GB2312"/>
          <w:sz w:val="32"/>
          <w:szCs w:val="32"/>
        </w:rPr>
      </w:pPr>
      <w:r>
        <w:rPr>
          <w:rFonts w:hint="eastAsia" w:ascii="仿宋_GB2312" w:hAnsi="仿宋" w:eastAsia="仿宋_GB2312"/>
          <w:sz w:val="32"/>
          <w:szCs w:val="32"/>
        </w:rPr>
        <w:t>1. 品牌影响力微弱：当前喀喇沁旗所举办体育赛事，多为区域性小规模赛事，缺乏具有广泛知名度与影响力的品牌赛事。</w:t>
      </w:r>
    </w:p>
    <w:p w14:paraId="62C52F76">
      <w:pPr>
        <w:spacing w:line="600" w:lineRule="exact"/>
        <w:ind w:firstLine="320" w:firstLineChars="100"/>
        <w:rPr>
          <w:rFonts w:ascii="仿宋_GB2312" w:hAnsi="仿宋" w:eastAsia="仿宋_GB2312"/>
          <w:sz w:val="32"/>
          <w:szCs w:val="32"/>
        </w:rPr>
      </w:pPr>
      <w:r>
        <w:rPr>
          <w:rFonts w:hint="eastAsia" w:ascii="仿宋_GB2312" w:hAnsi="仿宋" w:eastAsia="仿宋_GB2312"/>
          <w:sz w:val="32"/>
          <w:szCs w:val="32"/>
        </w:rPr>
        <w:t>2. 市场化运作不成熟：赛事运营过度依赖政府财政投入，商业赞助、广告合作、特许经营等市场化手段运用不充分。</w:t>
      </w:r>
    </w:p>
    <w:p w14:paraId="09D1F219">
      <w:pPr>
        <w:spacing w:line="600" w:lineRule="exact"/>
        <w:ind w:firstLine="320" w:firstLineChars="100"/>
        <w:rPr>
          <w:rFonts w:ascii="楷体_GB2312" w:hAnsi="仿宋" w:eastAsia="楷体_GB2312"/>
          <w:sz w:val="32"/>
          <w:szCs w:val="32"/>
        </w:rPr>
      </w:pPr>
      <w:r>
        <w:rPr>
          <w:rFonts w:hint="eastAsia" w:ascii="楷体_GB2312" w:hAnsi="仿宋" w:eastAsia="楷体_GB2312"/>
          <w:sz w:val="32"/>
          <w:szCs w:val="32"/>
        </w:rPr>
        <w:t>（三）文旅业态单一</w:t>
      </w:r>
    </w:p>
    <w:p w14:paraId="34DE4412">
      <w:pPr>
        <w:spacing w:line="600" w:lineRule="exact"/>
        <w:ind w:firstLine="320" w:firstLineChars="100"/>
        <w:rPr>
          <w:rFonts w:ascii="仿宋_GB2312" w:hAnsi="仿宋" w:eastAsia="仿宋_GB2312"/>
          <w:sz w:val="32"/>
          <w:szCs w:val="32"/>
        </w:rPr>
      </w:pPr>
      <w:r>
        <w:rPr>
          <w:rFonts w:hint="eastAsia" w:ascii="仿宋_GB2312" w:hAnsi="仿宋" w:eastAsia="仿宋_GB2312"/>
          <w:sz w:val="32"/>
          <w:szCs w:val="32"/>
        </w:rPr>
        <w:t>1. 旅游产品同质化：文旅产业仍以传统的观光旅游、农家乐为主，围绕体育赛事拓展的深度体验产品、特色旅游线路匮乏。缺乏如体育主题民宿、赛事观赛旅游团、体育研学基地等创新业态。</w:t>
      </w:r>
    </w:p>
    <w:p w14:paraId="769067A7">
      <w:pPr>
        <w:spacing w:line="600" w:lineRule="exact"/>
        <w:ind w:firstLine="320" w:firstLineChars="100"/>
        <w:rPr>
          <w:rFonts w:ascii="仿宋_GB2312" w:hAnsi="仿宋" w:eastAsia="仿宋_GB2312"/>
          <w:sz w:val="32"/>
          <w:szCs w:val="32"/>
        </w:rPr>
      </w:pPr>
      <w:r>
        <w:rPr>
          <w:rFonts w:hint="eastAsia" w:ascii="仿宋_GB2312" w:hAnsi="仿宋" w:eastAsia="仿宋_GB2312"/>
          <w:sz w:val="32"/>
          <w:szCs w:val="32"/>
        </w:rPr>
        <w:t>2. 全民体育参与受限：社区体育设施配备不足，乡村体育场地更是稀缺，群众体育活动组织频次低，缺乏专业教练指导。</w:t>
      </w:r>
    </w:p>
    <w:p w14:paraId="2D45FB8F">
      <w:pPr>
        <w:spacing w:line="600" w:lineRule="exact"/>
        <w:ind w:firstLine="320" w:firstLineChars="100"/>
        <w:rPr>
          <w:rFonts w:ascii="仿宋_GB2312" w:hAnsi="仿宋" w:eastAsia="仿宋_GB2312"/>
          <w:sz w:val="28"/>
          <w:szCs w:val="28"/>
        </w:rPr>
      </w:pPr>
      <w:r>
        <w:rPr>
          <w:rFonts w:hint="eastAsia" w:ascii="黑体" w:hAnsi="黑体" w:eastAsia="黑体"/>
          <w:sz w:val="32"/>
          <w:szCs w:val="32"/>
        </w:rPr>
        <w:t>三、建议</w:t>
      </w:r>
    </w:p>
    <w:p w14:paraId="6877B3DA">
      <w:pPr>
        <w:spacing w:line="600" w:lineRule="exact"/>
        <w:ind w:firstLine="640" w:firstLineChars="200"/>
        <w:rPr>
          <w:rFonts w:ascii="楷体_GB2312" w:hAnsi="仿宋" w:eastAsia="楷体_GB2312"/>
          <w:sz w:val="32"/>
          <w:szCs w:val="32"/>
        </w:rPr>
      </w:pPr>
      <w:r>
        <w:rPr>
          <w:rFonts w:hint="eastAsia" w:ascii="楷体_GB2312" w:hAnsi="仿宋" w:eastAsia="楷体_GB2312"/>
          <w:sz w:val="32"/>
          <w:szCs w:val="32"/>
        </w:rPr>
        <w:t>（一）强化顶层设计，深度融合资源</w:t>
      </w:r>
    </w:p>
    <w:p w14:paraId="47D050D9">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 由旗政府主导，成立体育文旅融合发展专项领导小组，统一制定喀喇沁旗体育文旅融合发展规划。结合全旗自然与人文资源分布，合理布局体育赛事场地，优化旅游景区功能分区，打造“赛事 + 旅游 + 文化体验”一体化线路，实现资源的高效配置与协同发展。</w:t>
      </w:r>
    </w:p>
    <w:p w14:paraId="0987A60A">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2. 深入挖掘喀喇沁旗文化内涵，将民俗风情、历史典故融入体育赛事筹备与举办全过程。赛前举办文化主题活动预热，赛中设置具有当地特色的文化表演、颁奖仪式，赛后组织参赛者游览当地名胜古迹，让体育赛事成为传播地域文化的窗口。</w:t>
      </w:r>
    </w:p>
    <w:p w14:paraId="27C9EFAD">
      <w:pPr>
        <w:spacing w:line="600" w:lineRule="exact"/>
        <w:ind w:firstLine="640" w:firstLineChars="200"/>
        <w:rPr>
          <w:rFonts w:ascii="楷体_GB2312" w:hAnsi="仿宋" w:eastAsia="楷体_GB2312"/>
          <w:sz w:val="32"/>
          <w:szCs w:val="32"/>
        </w:rPr>
      </w:pPr>
      <w:r>
        <w:rPr>
          <w:rFonts w:hint="eastAsia" w:ascii="楷体_GB2312" w:hAnsi="仿宋" w:eastAsia="楷体_GB2312"/>
          <w:sz w:val="32"/>
          <w:szCs w:val="32"/>
        </w:rPr>
        <w:t>（二）打造品牌赛事，创新运营模式</w:t>
      </w:r>
    </w:p>
    <w:p w14:paraId="03695843">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 借鉴“世界杯”品牌打造经验，立足喀喇沁旗特色，选取 1 - 2 项优势体育项目，如山地自行车、中国式摔跤、草原马拉松等，精心打造具有全国乃至国际影响力的品牌赛事。组建专业赛事策划团队，从赛事名称、标识、吉祥物到宣传推广，进行全方位包装，利用社交媒体、体育专业媒体等多元渠道扩大赛事知名度。</w:t>
      </w:r>
    </w:p>
    <w:p w14:paraId="636D747A">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2. 出台激励政策，吸引企业、社会资本参与赛事运营。通过降低准入门槛、提供税收优惠等方式，鼓励企业赞助赛事、承办赛事环节，探索赛事特许经营、票务分成等盈利模式，培育专业赛事运营公司，逐步实现赛事运营市场化、专业化、可持续化。</w:t>
      </w:r>
    </w:p>
    <w:p w14:paraId="490D878D">
      <w:pPr>
        <w:spacing w:line="600" w:lineRule="exact"/>
        <w:ind w:firstLine="640" w:firstLineChars="200"/>
        <w:rPr>
          <w:rFonts w:ascii="楷体_GB2312" w:hAnsi="仿宋" w:eastAsia="楷体_GB2312"/>
          <w:sz w:val="32"/>
          <w:szCs w:val="32"/>
        </w:rPr>
      </w:pPr>
      <w:r>
        <w:rPr>
          <w:rFonts w:hint="eastAsia" w:ascii="楷体_GB2312" w:hAnsi="仿宋" w:eastAsia="楷体_GB2312"/>
          <w:sz w:val="32"/>
          <w:szCs w:val="32"/>
        </w:rPr>
        <w:t>（三）丰富业态供给，推动全民体育</w:t>
      </w:r>
    </w:p>
    <w:p w14:paraId="1C581D81">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 结合喀喇沁旗自然景观与体育赛事资源，开发体育主题民宿、户外露营地、体育研学基地等新业态旅游产品。围绕体育赛事推出观赛旅游套餐、亲子体育游线路等特色旅游服务，满足游客多元化需求，延长游客停留时间，提高旅游消费。</w:t>
      </w:r>
    </w:p>
    <w:p w14:paraId="5A71B2D1">
      <w:pPr>
        <w:spacing w:line="600" w:lineRule="exact"/>
        <w:ind w:firstLine="640" w:firstLineChars="200"/>
      </w:pPr>
      <w:r>
        <w:rPr>
          <w:rFonts w:hint="eastAsia" w:ascii="仿宋_GB2312" w:hAnsi="仿宋" w:eastAsia="仿宋_GB2312"/>
          <w:sz w:val="32"/>
          <w:szCs w:val="32"/>
        </w:rPr>
        <w:t>2. 加大社区体育设施建设投入，组织专业体育教练进社区、进乡村，开展体育培训、健身指导活动。定期举办全民体育赛事，如社区趣味运动会、乡村篮球赛等，激发民众参与体育锻炼的热情，将体育健身融入全民生活，夯实体育文旅产业发展的群众基础，助力喀喇沁旗开启全新发展篇章。</w:t>
      </w:r>
    </w:p>
    <w:p w14:paraId="76F41E3B">
      <w:pPr>
        <w:rPr>
          <w:rFonts w:ascii="楷体_GB2312" w:hAnsi="楷体" w:eastAsia="楷体_GB2312" w:cs="楷体"/>
          <w:sz w:val="32"/>
          <w:szCs w:val="32"/>
        </w:rPr>
      </w:pPr>
    </w:p>
    <w:p w14:paraId="1C5F364C">
      <w:pPr>
        <w:rPr>
          <w:rFonts w:ascii="楷体_GB2312" w:hAnsi="楷体" w:eastAsia="楷体_GB2312" w:cs="楷体"/>
          <w:sz w:val="32"/>
          <w:szCs w:val="32"/>
        </w:rPr>
      </w:pPr>
    </w:p>
    <w:p w14:paraId="38859FAE">
      <w:pPr>
        <w:rPr>
          <w:rFonts w:ascii="楷体_GB2312" w:hAnsi="楷体" w:eastAsia="楷体_GB2312" w:cs="楷体"/>
          <w:sz w:val="32"/>
          <w:szCs w:val="32"/>
        </w:rPr>
      </w:pPr>
    </w:p>
    <w:p w14:paraId="04EA4D92">
      <w:pPr>
        <w:rPr>
          <w:rFonts w:ascii="楷体_GB2312" w:hAnsi="楷体" w:eastAsia="楷体_GB2312" w:cs="楷体"/>
          <w:sz w:val="32"/>
          <w:szCs w:val="32"/>
        </w:rPr>
      </w:pPr>
    </w:p>
    <w:p w14:paraId="448FE3C3">
      <w:pPr>
        <w:rPr>
          <w:rFonts w:ascii="楷体_GB2312" w:hAnsi="楷体" w:eastAsia="楷体_GB2312" w:cs="楷体"/>
          <w:sz w:val="32"/>
          <w:szCs w:val="32"/>
        </w:rPr>
      </w:pPr>
    </w:p>
    <w:p w14:paraId="270DD0CC">
      <w:pPr>
        <w:rPr>
          <w:rFonts w:ascii="楷体_GB2312" w:hAnsi="楷体" w:eastAsia="楷体_GB2312" w:cs="楷体"/>
          <w:sz w:val="32"/>
          <w:szCs w:val="32"/>
        </w:rPr>
      </w:pPr>
    </w:p>
    <w:p w14:paraId="5C7122CE">
      <w:pPr>
        <w:rPr>
          <w:rFonts w:ascii="楷体_GB2312" w:hAnsi="楷体" w:eastAsia="楷体_GB2312" w:cs="楷体"/>
          <w:sz w:val="32"/>
          <w:szCs w:val="32"/>
        </w:rPr>
      </w:pPr>
    </w:p>
    <w:p w14:paraId="597097CA">
      <w:pPr>
        <w:rPr>
          <w:rFonts w:ascii="楷体_GB2312" w:hAnsi="楷体" w:eastAsia="楷体_GB2312" w:cs="楷体"/>
          <w:sz w:val="32"/>
          <w:szCs w:val="32"/>
        </w:rPr>
      </w:pPr>
    </w:p>
    <w:p w14:paraId="56CA45EE">
      <w:pPr>
        <w:rPr>
          <w:rFonts w:ascii="楷体_GB2312" w:hAnsi="楷体" w:eastAsia="楷体_GB2312" w:cs="楷体"/>
          <w:sz w:val="32"/>
          <w:szCs w:val="32"/>
        </w:rPr>
      </w:pPr>
    </w:p>
    <w:p w14:paraId="5ED3F251">
      <w:pPr>
        <w:rPr>
          <w:rFonts w:ascii="楷体_GB2312" w:hAnsi="楷体" w:eastAsia="楷体_GB2312" w:cs="楷体"/>
          <w:sz w:val="32"/>
          <w:szCs w:val="32"/>
        </w:rPr>
      </w:pPr>
    </w:p>
    <w:p w14:paraId="25F532DD">
      <w:pPr>
        <w:rPr>
          <w:rFonts w:ascii="楷体_GB2312" w:hAnsi="楷体" w:eastAsia="楷体_GB2312" w:cs="楷体"/>
          <w:sz w:val="32"/>
          <w:szCs w:val="32"/>
        </w:rPr>
      </w:pPr>
    </w:p>
    <w:p w14:paraId="2D1665A3">
      <w:pPr>
        <w:rPr>
          <w:rFonts w:ascii="楷体_GB2312" w:hAnsi="楷体" w:eastAsia="楷体_GB2312" w:cs="楷体"/>
          <w:sz w:val="32"/>
          <w:szCs w:val="32"/>
        </w:rPr>
      </w:pPr>
    </w:p>
    <w:p w14:paraId="4BFF1DE0">
      <w:pPr>
        <w:rPr>
          <w:rFonts w:ascii="楷体_GB2312" w:hAnsi="楷体" w:eastAsia="楷体_GB2312" w:cs="楷体"/>
          <w:sz w:val="32"/>
          <w:szCs w:val="32"/>
        </w:rPr>
      </w:pPr>
    </w:p>
    <w:p w14:paraId="58CE2C00">
      <w:pPr>
        <w:rPr>
          <w:rFonts w:ascii="楷体_GB2312" w:hAnsi="楷体" w:eastAsia="楷体_GB2312" w:cs="楷体"/>
          <w:sz w:val="32"/>
          <w:szCs w:val="32"/>
        </w:rPr>
      </w:pPr>
    </w:p>
    <w:p w14:paraId="29CA1B11">
      <w:pPr>
        <w:rPr>
          <w:rFonts w:ascii="楷体_GB2312" w:hAnsi="楷体" w:eastAsia="楷体_GB2312" w:cs="楷体"/>
          <w:sz w:val="32"/>
          <w:szCs w:val="32"/>
        </w:rPr>
      </w:pPr>
    </w:p>
    <w:p w14:paraId="34AC2E6E">
      <w:pPr>
        <w:rPr>
          <w:rFonts w:ascii="楷体_GB2312" w:hAnsi="楷体" w:eastAsia="楷体_GB2312" w:cs="楷体"/>
          <w:sz w:val="32"/>
          <w:szCs w:val="32"/>
        </w:rPr>
      </w:pPr>
    </w:p>
    <w:p w14:paraId="3615C683">
      <w:pPr>
        <w:rPr>
          <w:rFonts w:ascii="楷体_GB2312" w:hAnsi="楷体" w:eastAsia="楷体_GB2312" w:cs="楷体"/>
          <w:sz w:val="32"/>
          <w:szCs w:val="32"/>
        </w:rPr>
      </w:pPr>
      <w:r>
        <w:rPr>
          <w:rFonts w:hint="eastAsia" w:ascii="楷体_GB2312" w:hAnsi="楷体" w:eastAsia="楷体_GB2312" w:cs="楷体"/>
          <w:sz w:val="32"/>
          <w:szCs w:val="32"/>
        </w:rPr>
        <w:t>提案编号：020</w:t>
      </w:r>
    </w:p>
    <w:p w14:paraId="230A6DA5">
      <w:pPr>
        <w:rPr>
          <w:rFonts w:ascii="楷体_GB2312" w:hAnsi="楷体" w:eastAsia="楷体_GB2312" w:cs="楷体"/>
          <w:sz w:val="32"/>
          <w:szCs w:val="32"/>
        </w:rPr>
      </w:pPr>
      <w:r>
        <w:rPr>
          <w:rFonts w:hint="eastAsia" w:ascii="楷体_GB2312" w:hAnsi="楷体" w:eastAsia="楷体_GB2312" w:cs="楷体"/>
          <w:sz w:val="32"/>
          <w:szCs w:val="32"/>
        </w:rPr>
        <w:t>提案名称：关于推动林业经济高质量发展的提案</w:t>
      </w:r>
    </w:p>
    <w:p w14:paraId="57E966A3">
      <w:pPr>
        <w:pStyle w:val="25"/>
        <w:ind w:firstLine="0" w:firstLineChars="0"/>
        <w:rPr>
          <w:rFonts w:ascii="楷体_GB2312" w:hAnsi="楷体" w:eastAsia="楷体_GB2312" w:cs="楷体"/>
          <w:sz w:val="32"/>
          <w:szCs w:val="32"/>
        </w:rPr>
      </w:pPr>
      <w:r>
        <w:rPr>
          <w:rFonts w:hint="eastAsia" w:ascii="楷体_GB2312" w:hAnsi="楷体" w:eastAsia="楷体_GB2312" w:cs="楷体"/>
          <w:sz w:val="32"/>
          <w:szCs w:val="32"/>
        </w:rPr>
        <w:t>提 案 人：李晓彬</w:t>
      </w:r>
    </w:p>
    <w:p w14:paraId="51771E99">
      <w:pPr>
        <w:pStyle w:val="25"/>
        <w:ind w:firstLine="0" w:firstLineChars="0"/>
        <w:rPr>
          <w:rFonts w:ascii="楷体_GB2312" w:hAnsi="楷体" w:eastAsia="楷体_GB2312" w:cs="楷体"/>
          <w:sz w:val="32"/>
          <w:szCs w:val="32"/>
        </w:rPr>
      </w:pPr>
      <w:r>
        <w:rPr>
          <w:rFonts w:hint="eastAsia" w:ascii="楷体_GB2312" w:hAnsi="楷体" w:eastAsia="楷体_GB2312" w:cs="楷体"/>
          <w:sz w:val="32"/>
          <w:szCs w:val="32"/>
        </w:rPr>
        <w:t>联系方式：13947634136</w:t>
      </w:r>
    </w:p>
    <w:p w14:paraId="349D89E9">
      <w:pPr>
        <w:pStyle w:val="25"/>
        <w:ind w:firstLine="0" w:firstLineChars="0"/>
        <w:rPr>
          <w:rFonts w:ascii="楷体_GB2312" w:hAnsi="楷体" w:eastAsia="楷体_GB2312" w:cs="楷体"/>
          <w:sz w:val="32"/>
          <w:szCs w:val="32"/>
        </w:rPr>
      </w:pPr>
      <w:r>
        <w:rPr>
          <w:rFonts w:hint="eastAsia" w:ascii="楷体_GB2312" w:hAnsi="楷体" w:eastAsia="楷体_GB2312" w:cs="楷体"/>
          <w:sz w:val="32"/>
          <w:szCs w:val="32"/>
        </w:rPr>
        <w:t>界    别：工会</w:t>
      </w:r>
    </w:p>
    <w:p w14:paraId="581C8C7E">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关于推动林业经济高质量发展的提案</w:t>
      </w:r>
    </w:p>
    <w:p w14:paraId="52C7FC2E">
      <w:pPr>
        <w:spacing w:line="560" w:lineRule="exac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近年来，喀喇沁旗深入践行“绿水青山就是金山银山”理念，大力挖掘森林的“四库”效益，围绕</w:t>
      </w:r>
      <w:r>
        <w:rPr>
          <w:rFonts w:hint="eastAsia" w:ascii="仿宋_GB2312" w:hAnsi="楷体" w:eastAsia="仿宋_GB2312" w:cs="楷体"/>
          <w:color w:val="333333"/>
          <w:sz w:val="32"/>
          <w:szCs w:val="32"/>
        </w:rPr>
        <w:t>“</w:t>
      </w:r>
      <w:r>
        <w:rPr>
          <w:rFonts w:hint="eastAsia" w:ascii="仿宋_GB2312" w:hAnsi="仿宋_GB2312" w:eastAsia="仿宋_GB2312" w:cs="仿宋_GB2312"/>
          <w:color w:val="333333"/>
          <w:sz w:val="32"/>
          <w:szCs w:val="32"/>
        </w:rPr>
        <w:t>生态产业化、产业生态化</w:t>
      </w:r>
      <w:r>
        <w:rPr>
          <w:rFonts w:hint="eastAsia" w:ascii="仿宋_GB2312" w:hAnsi="楷体" w:eastAsia="仿宋_GB2312" w:cs="楷体"/>
          <w:color w:val="333333"/>
          <w:sz w:val="32"/>
          <w:szCs w:val="32"/>
        </w:rPr>
        <w:t>”</w:t>
      </w:r>
      <w:r>
        <w:rPr>
          <w:rFonts w:hint="eastAsia" w:ascii="仿宋_GB2312" w:hAnsi="仿宋_GB2312" w:eastAsia="仿宋_GB2312" w:cs="仿宋_GB2312"/>
          <w:color w:val="333333"/>
          <w:sz w:val="32"/>
          <w:szCs w:val="32"/>
        </w:rPr>
        <w:t>这一主线，做好</w:t>
      </w:r>
      <w:r>
        <w:rPr>
          <w:rFonts w:hint="eastAsia" w:ascii="仿宋_GB2312" w:hAnsi="仿宋_GB2312" w:eastAsia="仿宋_GB2312" w:cs="仿宋_GB2312"/>
          <w:sz w:val="32"/>
          <w:szCs w:val="32"/>
        </w:rPr>
        <w:t>“原生态野生林下产品、林下种植、林下养殖、林果业、林副产品加工和森林康养旅游”六篇林业经济文章，</w:t>
      </w:r>
      <w:r>
        <w:rPr>
          <w:rFonts w:hint="eastAsia" w:ascii="仿宋_GB2312" w:hAnsi="仿宋_GB2312" w:eastAsia="仿宋_GB2312" w:cs="仿宋_GB2312"/>
          <w:color w:val="333333"/>
          <w:sz w:val="32"/>
          <w:szCs w:val="32"/>
        </w:rPr>
        <w:t>大力发展林业经济，积极探索推进林草事业高质量发展的新途径。</w:t>
      </w:r>
    </w:p>
    <w:p w14:paraId="03A2D391">
      <w:pPr>
        <w:spacing w:line="560" w:lineRule="exact"/>
        <w:ind w:firstLine="640" w:firstLineChars="200"/>
        <w:rPr>
          <w:rFonts w:ascii="黑体" w:hAnsi="黑体" w:eastAsia="黑体"/>
          <w:sz w:val="32"/>
          <w:szCs w:val="32"/>
        </w:rPr>
      </w:pPr>
      <w:r>
        <w:rPr>
          <w:rFonts w:hint="eastAsia" w:ascii="黑体" w:hAnsi="黑体" w:eastAsia="黑体"/>
          <w:sz w:val="32"/>
          <w:szCs w:val="32"/>
        </w:rPr>
        <w:t>一、喀喇沁旗现阶段林业经济发展现状</w:t>
      </w:r>
    </w:p>
    <w:p w14:paraId="35F5071A">
      <w:pPr>
        <w:spacing w:line="560" w:lineRule="exact"/>
        <w:ind w:firstLine="640" w:firstLineChars="200"/>
        <w:rPr>
          <w:rFonts w:ascii="仿宋_GB2312" w:eastAsia="仿宋_GB2312"/>
          <w:sz w:val="32"/>
          <w:szCs w:val="32"/>
        </w:rPr>
      </w:pPr>
      <w:r>
        <w:rPr>
          <w:rFonts w:hint="eastAsia" w:ascii="仿宋_GB2312" w:eastAsia="仿宋_GB2312"/>
          <w:sz w:val="32"/>
          <w:szCs w:val="32"/>
        </w:rPr>
        <w:t>喀喇沁旗总面积304785公顷，其中林业用地面积308万亩，占国土总面积的60%，森林面积264.2万亩，森林蓄积728万立方米。喀喇沁旗依托资源优势，积极探索林业高质量发展的新路径，增加群众的增收渠道。编制了全旗林业经济发展规划，</w:t>
      </w:r>
      <w:r>
        <w:rPr>
          <w:rFonts w:hint="eastAsia" w:ascii="仿宋_GB2312" w:hAnsi="仿宋_GB2312" w:eastAsia="仿宋_GB2312" w:cs="仿宋_GB2312"/>
          <w:sz w:val="32"/>
          <w:szCs w:val="32"/>
        </w:rPr>
        <w:t>组建了林业经济发展中心，连续三年印发《喀喇沁旗扶持巩固拓展脱贫攻坚成果同乡村振兴有效衔接主导产业奖补办法》，对发展林业经济合作社组织、农户给予一定数量的补贴，推动林业经济高质量发展。截止到2024年底，</w:t>
      </w:r>
      <w:r>
        <w:rPr>
          <w:rFonts w:hint="eastAsia" w:ascii="仿宋_GB2312" w:eastAsia="仿宋_GB2312"/>
          <w:sz w:val="32"/>
          <w:szCs w:val="32"/>
        </w:rPr>
        <w:t>全旗林业经济产值到达22.8亿元，按产业类别分，第一产业产值10.0569亿元，第二产值产值0.3430亿元，第三产业产值12.4597亿元。按产业项目分：</w:t>
      </w:r>
      <w:r>
        <w:rPr>
          <w:rFonts w:hint="eastAsia" w:ascii="仿宋_GB2312" w:hAnsi="仿宋_GB2312" w:eastAsia="仿宋_GB2312" w:cs="仿宋_GB2312"/>
          <w:sz w:val="32"/>
          <w:szCs w:val="32"/>
        </w:rPr>
        <w:t>林下食用菌种植面积7500亩，产值2亿元；林下种植药材5万亩，产值5亿元；林下养殖0.1055亿元；生产各类水果14700吨，各类干果3610吨，经济林产值1亿元；产品加工产值0.3430亿元；</w:t>
      </w:r>
      <w:r>
        <w:rPr>
          <w:rFonts w:hint="eastAsia" w:ascii="仿宋_GB2312" w:eastAsia="仿宋_GB2312"/>
          <w:sz w:val="32"/>
          <w:szCs w:val="32"/>
        </w:rPr>
        <w:t>森林旅游旅游收入12亿元；营林生产、林木育种和育苗、林草公共管理服务等收入2.3515亿元。</w:t>
      </w:r>
    </w:p>
    <w:p w14:paraId="473F8BA1">
      <w:pPr>
        <w:spacing w:line="560" w:lineRule="exact"/>
        <w:ind w:firstLine="640" w:firstLineChars="200"/>
        <w:rPr>
          <w:rFonts w:ascii="黑体" w:hAnsi="黑体" w:eastAsia="黑体"/>
          <w:sz w:val="32"/>
          <w:szCs w:val="32"/>
        </w:rPr>
      </w:pPr>
      <w:r>
        <w:rPr>
          <w:rFonts w:hint="eastAsia" w:ascii="黑体" w:hAnsi="黑体" w:eastAsia="黑体"/>
          <w:sz w:val="32"/>
          <w:szCs w:val="32"/>
        </w:rPr>
        <w:t>二、林业经济高质量发展存在的主要问题</w:t>
      </w:r>
    </w:p>
    <w:p w14:paraId="78FB7260">
      <w:pPr>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一是缺乏带动能力强、技术力量雄厚的龙头企业。</w:t>
      </w:r>
      <w:r>
        <w:rPr>
          <w:rFonts w:hint="eastAsia" w:ascii="仿宋_GB2312" w:hAnsi="仿宋_GB2312" w:eastAsia="仿宋_GB2312" w:cs="仿宋_GB2312"/>
          <w:sz w:val="32"/>
          <w:szCs w:val="32"/>
        </w:rPr>
        <w:t>全旗可利用森林资源虽然丰富，产业类别较多，但缺乏带动能力强、技术力量雄厚的龙头企业，没有形成完整的林草高质量发展产业体系。</w:t>
      </w:r>
    </w:p>
    <w:p w14:paraId="698D6023">
      <w:pPr>
        <w:spacing w:line="560" w:lineRule="exact"/>
        <w:ind w:firstLine="640" w:firstLineChars="200"/>
        <w:rPr>
          <w:rFonts w:ascii="仿宋_GB2312" w:hAnsi="仿宋_GB2312" w:eastAsia="仿宋_GB2312" w:cs="仿宋_GB2312"/>
          <w:bCs/>
          <w:sz w:val="32"/>
          <w:szCs w:val="32"/>
          <w:highlight w:val="yellow"/>
        </w:rPr>
      </w:pPr>
      <w:r>
        <w:rPr>
          <w:rFonts w:hint="eastAsia" w:ascii="楷体_GB2312" w:hAnsi="楷体" w:eastAsia="楷体_GB2312" w:cs="楷体"/>
          <w:bCs/>
          <w:sz w:val="32"/>
          <w:szCs w:val="32"/>
        </w:rPr>
        <w:t>二是产业链短，经济效益较低。</w:t>
      </w:r>
      <w:r>
        <w:rPr>
          <w:rFonts w:hint="eastAsia" w:ascii="仿宋_GB2312" w:hAnsi="仿宋_GB2312" w:eastAsia="仿宋_GB2312" w:cs="仿宋_GB2312"/>
          <w:bCs/>
          <w:sz w:val="32"/>
          <w:szCs w:val="32"/>
        </w:rPr>
        <w:t>从我旗现有林业经济项目看，普遍存在着产业链短的不足。比如，林下食用菌种植、经济林等项目，大部分销售初级产品，抵御市场的风险能力低，群众增收效果不明显。</w:t>
      </w:r>
    </w:p>
    <w:p w14:paraId="35F8D6D4">
      <w:pPr>
        <w:pStyle w:val="10"/>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三是现有的设施设备没有完全发挥作用。</w:t>
      </w:r>
      <w:r>
        <w:rPr>
          <w:rFonts w:hint="eastAsia" w:ascii="仿宋_GB2312" w:hAnsi="仿宋_GB2312" w:eastAsia="仿宋_GB2312" w:cs="仿宋_GB2312"/>
          <w:sz w:val="32"/>
          <w:szCs w:val="32"/>
        </w:rPr>
        <w:t>多年来，我旗积极争取上级政策扶持，建立起一定数量和规模的林业产业储藏、加工设施，由于产品销售不畅，效益不高，导致企业处于半停产状态，现有的设施设备没有真正发挥作用，比如，现有的储藏窖、果品加工厂等。</w:t>
      </w:r>
    </w:p>
    <w:p w14:paraId="6D6557A5">
      <w:pPr>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四是科技支撑不足。</w:t>
      </w:r>
      <w:r>
        <w:rPr>
          <w:rFonts w:hint="eastAsia" w:ascii="仿宋_GB2312" w:hAnsi="仿宋_GB2312" w:eastAsia="仿宋_GB2312" w:cs="仿宋_GB2312"/>
          <w:sz w:val="32"/>
          <w:szCs w:val="32"/>
        </w:rPr>
        <w:t>推进</w:t>
      </w:r>
      <w:r>
        <w:rPr>
          <w:rFonts w:hint="eastAsia" w:ascii="仿宋_GB2312" w:hAnsi="仿宋_GB2312" w:eastAsia="仿宋_GB2312" w:cs="仿宋_GB2312"/>
          <w:bCs/>
          <w:sz w:val="32"/>
          <w:szCs w:val="32"/>
        </w:rPr>
        <w:t>林业经济</w:t>
      </w:r>
      <w:r>
        <w:rPr>
          <w:rFonts w:hint="eastAsia" w:ascii="仿宋_GB2312" w:hAnsi="仿宋_GB2312" w:eastAsia="仿宋_GB2312" w:cs="仿宋_GB2312"/>
          <w:sz w:val="32"/>
          <w:szCs w:val="32"/>
        </w:rPr>
        <w:t>高质量</w:t>
      </w:r>
      <w:r>
        <w:rPr>
          <w:rFonts w:hint="eastAsia" w:ascii="仿宋_GB2312" w:hAnsi="仿宋_GB2312" w:eastAsia="仿宋_GB2312" w:cs="仿宋_GB2312"/>
          <w:bCs/>
          <w:sz w:val="32"/>
          <w:szCs w:val="32"/>
        </w:rPr>
        <w:t>发展，既需要懂经营管理的能人，更需要掌握先进技术的专业人才。比如，发展经济林，需要大量掌握果树修剪技术的人才，经济林修剪跟得上，才能保障经济正常结果；再比如，我们的林产品销售，需要懂得营销策略的营销人才等。</w:t>
      </w:r>
    </w:p>
    <w:p w14:paraId="6382C7D0">
      <w:pPr>
        <w:pStyle w:val="10"/>
        <w:ind w:firstLine="640" w:firstLineChars="200"/>
        <w:rPr>
          <w:rFonts w:ascii="黑体" w:hAnsi="黑体" w:eastAsia="黑体" w:cs="黑体"/>
          <w:sz w:val="32"/>
          <w:szCs w:val="32"/>
        </w:rPr>
      </w:pPr>
      <w:r>
        <w:rPr>
          <w:rFonts w:hint="eastAsia" w:ascii="黑体" w:hAnsi="黑体" w:eastAsia="黑体" w:cs="黑体"/>
          <w:sz w:val="32"/>
          <w:szCs w:val="32"/>
        </w:rPr>
        <w:t>三、发展林业经济的几点建议</w:t>
      </w:r>
    </w:p>
    <w:p w14:paraId="3292A370">
      <w:pPr>
        <w:pStyle w:val="10"/>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一是加大招商引资力度，引进和培育龙头企业。</w:t>
      </w:r>
      <w:r>
        <w:rPr>
          <w:rFonts w:hint="eastAsia" w:ascii="仿宋_GB2312" w:hAnsi="仿宋_GB2312" w:eastAsia="仿宋_GB2312" w:cs="仿宋_GB2312"/>
          <w:sz w:val="32"/>
          <w:szCs w:val="32"/>
        </w:rPr>
        <w:t>通过招商引资，引进技术、资金雄厚的龙头企业，发挥龙头企业的带头作用，推进林业产业高质量发展。</w:t>
      </w:r>
    </w:p>
    <w:p w14:paraId="3CA3DF77">
      <w:pPr>
        <w:pStyle w:val="10"/>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二是拓宽融资渠道，强化补链强链。</w:t>
      </w:r>
      <w:r>
        <w:rPr>
          <w:rFonts w:hint="eastAsia" w:ascii="仿宋_GB2312" w:hAnsi="仿宋_GB2312" w:eastAsia="仿宋_GB2312" w:cs="仿宋_GB2312"/>
          <w:sz w:val="32"/>
          <w:szCs w:val="32"/>
        </w:rPr>
        <w:t>围绕经济林、林下种植养殖、林产品加工、森林康养等林业经济项目，通过积极争取项目、加大招商引资力度等措施，完善产业链条，通过创新产品品牌、提升产品质量、畅通销售渠道等方式，提高市场占有率。</w:t>
      </w:r>
    </w:p>
    <w:p w14:paraId="63E612E2">
      <w:pPr>
        <w:pStyle w:val="10"/>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三是转变发展方式，用工业化的思维发展林业经济</w:t>
      </w:r>
      <w:r>
        <w:rPr>
          <w:rFonts w:hint="eastAsia" w:ascii="楷体_GB2312" w:hAnsi="仿宋_GB2312" w:eastAsia="楷体_GB2312" w:cs="仿宋_GB2312"/>
          <w:sz w:val="32"/>
          <w:szCs w:val="32"/>
        </w:rPr>
        <w:t>。</w:t>
      </w:r>
      <w:r>
        <w:rPr>
          <w:rFonts w:hint="eastAsia" w:ascii="仿宋_GB2312" w:hAnsi="仿宋_GB2312" w:eastAsia="仿宋_GB2312" w:cs="仿宋_GB2312"/>
          <w:sz w:val="32"/>
          <w:szCs w:val="32"/>
        </w:rPr>
        <w:t>目前，我旗的林业经济项目具备了一定的规模，并获得了比较好的经济效益，要实现高质量发展，还有较大的差距。借鉴外地的先进经验，我们必须转变发展方式，用工业化的发展模式发展林业经济，通过建园区的方式，实现产业发展资金、技术、管理等要素的高度融合，推进林业经济高质量发展。</w:t>
      </w:r>
    </w:p>
    <w:p w14:paraId="61B269E9">
      <w:pPr>
        <w:pStyle w:val="10"/>
        <w:ind w:firstLine="640" w:firstLineChars="200"/>
        <w:rPr>
          <w:rFonts w:ascii="仿宋_GB2312" w:hAnsi="仿宋_GB2312" w:eastAsia="仿宋_GB2312" w:cs="仿宋_GB2312"/>
          <w:sz w:val="32"/>
          <w:szCs w:val="32"/>
          <w:highlight w:val="yellow"/>
        </w:rPr>
      </w:pPr>
      <w:r>
        <w:rPr>
          <w:rFonts w:hint="eastAsia" w:ascii="楷体_GB2312" w:hAnsi="楷体" w:eastAsia="楷体_GB2312" w:cs="楷体"/>
          <w:sz w:val="32"/>
          <w:szCs w:val="32"/>
        </w:rPr>
        <w:t>四是加大与高校、科研院所的联系。</w:t>
      </w:r>
      <w:r>
        <w:rPr>
          <w:rFonts w:hint="eastAsia" w:ascii="仿宋_GB2312" w:hAnsi="仿宋_GB2312" w:eastAsia="仿宋_GB2312" w:cs="仿宋_GB2312"/>
          <w:sz w:val="32"/>
          <w:szCs w:val="32"/>
        </w:rPr>
        <w:t>通过加强与高校、科研院所的沟通，一方面，学习掌握先进的林业产业发展信息技术，同时争取高校科研单位对我旗发展林业经济提供技术支持，提高全旗林业经济的科技含量。</w:t>
      </w:r>
    </w:p>
    <w:p w14:paraId="19D3C471">
      <w:pPr>
        <w:pStyle w:val="10"/>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五是加大禁牧封育力度。</w:t>
      </w:r>
      <w:r>
        <w:rPr>
          <w:rFonts w:hint="eastAsia" w:ascii="仿宋_GB2312" w:hAnsi="仿宋_GB2312" w:eastAsia="仿宋_GB2312" w:cs="仿宋_GB2312"/>
          <w:sz w:val="32"/>
          <w:szCs w:val="32"/>
        </w:rPr>
        <w:t>禁牧一直是群众普遍关注的问题，在我旗，实行禁牧一直有两种意见，大部分认为，实行禁牧封育有益于环境保护和林业高质量发展；部分人认为，实行禁牧封育影响林区畜牧业的发展，不利于群众增收。为更深层地了解禁牧封育对发展畜牧业的影响，笔者查阅了《2023年喀喇沁旗年鉴》，美林镇全镇总面积551平方千米，林地面积455.13平方千米，2023年存栏肉牛3万头；乃林镇全镇总面积141平方千米，林地面积16.93平方千米，2023年存栏肉牛3万头。王爷府镇黑山沟村，多年来一直实行全村禁牧，全村户均存栏牛2头以上，从以上数据看，实行禁牧不会影响畜牧业的发展，有利于环境保护和林业高质量发展。</w:t>
      </w:r>
    </w:p>
    <w:p w14:paraId="4D71C53C">
      <w:pPr>
        <w:spacing w:line="572" w:lineRule="exact"/>
        <w:jc w:val="left"/>
        <w:rPr>
          <w:rFonts w:ascii="楷体_GB2312" w:hAnsi="楷体" w:eastAsia="楷体_GB2312" w:cs="楷体"/>
          <w:sz w:val="32"/>
          <w:szCs w:val="32"/>
        </w:rPr>
      </w:pPr>
    </w:p>
    <w:p w14:paraId="6EDC48B4">
      <w:pPr>
        <w:spacing w:line="572" w:lineRule="exact"/>
        <w:jc w:val="left"/>
        <w:rPr>
          <w:rFonts w:ascii="楷体_GB2312" w:hAnsi="楷体" w:eastAsia="楷体_GB2312" w:cs="楷体"/>
          <w:sz w:val="32"/>
          <w:szCs w:val="32"/>
        </w:rPr>
      </w:pPr>
    </w:p>
    <w:p w14:paraId="78B866BF">
      <w:pPr>
        <w:spacing w:line="572" w:lineRule="exact"/>
        <w:jc w:val="left"/>
        <w:rPr>
          <w:rFonts w:ascii="楷体_GB2312" w:hAnsi="楷体" w:eastAsia="楷体_GB2312" w:cs="楷体"/>
          <w:sz w:val="32"/>
          <w:szCs w:val="32"/>
        </w:rPr>
      </w:pPr>
    </w:p>
    <w:p w14:paraId="38676A40">
      <w:pPr>
        <w:spacing w:line="572" w:lineRule="exact"/>
        <w:jc w:val="left"/>
        <w:rPr>
          <w:rFonts w:ascii="楷体_GB2312" w:hAnsi="楷体" w:eastAsia="楷体_GB2312" w:cs="楷体"/>
          <w:sz w:val="32"/>
          <w:szCs w:val="32"/>
        </w:rPr>
      </w:pPr>
    </w:p>
    <w:p w14:paraId="358C570B">
      <w:pPr>
        <w:spacing w:line="572" w:lineRule="exact"/>
        <w:jc w:val="left"/>
        <w:rPr>
          <w:rFonts w:ascii="楷体_GB2312" w:hAnsi="楷体" w:eastAsia="楷体_GB2312" w:cs="楷体"/>
          <w:sz w:val="32"/>
          <w:szCs w:val="32"/>
        </w:rPr>
      </w:pPr>
    </w:p>
    <w:p w14:paraId="48530EC3">
      <w:pPr>
        <w:spacing w:line="572" w:lineRule="exact"/>
        <w:jc w:val="left"/>
        <w:rPr>
          <w:rFonts w:ascii="楷体_GB2312" w:hAnsi="楷体" w:eastAsia="楷体_GB2312" w:cs="楷体"/>
          <w:sz w:val="32"/>
          <w:szCs w:val="32"/>
        </w:rPr>
      </w:pPr>
    </w:p>
    <w:p w14:paraId="3E15999A">
      <w:pPr>
        <w:spacing w:line="572" w:lineRule="exact"/>
        <w:jc w:val="left"/>
        <w:rPr>
          <w:rFonts w:ascii="楷体_GB2312" w:hAnsi="楷体" w:eastAsia="楷体_GB2312" w:cs="楷体"/>
          <w:sz w:val="32"/>
          <w:szCs w:val="32"/>
        </w:rPr>
      </w:pPr>
    </w:p>
    <w:p w14:paraId="32A0526E">
      <w:pPr>
        <w:spacing w:line="572" w:lineRule="exact"/>
        <w:jc w:val="left"/>
        <w:rPr>
          <w:rFonts w:ascii="楷体_GB2312" w:hAnsi="楷体" w:eastAsia="楷体_GB2312" w:cs="楷体"/>
          <w:sz w:val="32"/>
          <w:szCs w:val="32"/>
        </w:rPr>
      </w:pPr>
    </w:p>
    <w:p w14:paraId="50B8195D">
      <w:pPr>
        <w:spacing w:line="572" w:lineRule="exact"/>
        <w:jc w:val="left"/>
        <w:rPr>
          <w:rFonts w:ascii="楷体_GB2312" w:hAnsi="楷体" w:eastAsia="楷体_GB2312" w:cs="楷体"/>
          <w:sz w:val="32"/>
          <w:szCs w:val="32"/>
        </w:rPr>
      </w:pPr>
    </w:p>
    <w:p w14:paraId="7FF9B7AE">
      <w:pPr>
        <w:spacing w:line="572" w:lineRule="exact"/>
        <w:jc w:val="left"/>
        <w:rPr>
          <w:rFonts w:ascii="楷体_GB2312" w:hAnsi="楷体" w:eastAsia="楷体_GB2312" w:cs="楷体"/>
          <w:sz w:val="32"/>
          <w:szCs w:val="32"/>
        </w:rPr>
      </w:pPr>
    </w:p>
    <w:p w14:paraId="67568331">
      <w:pPr>
        <w:spacing w:line="572" w:lineRule="exact"/>
        <w:jc w:val="left"/>
        <w:rPr>
          <w:rFonts w:ascii="楷体_GB2312" w:hAnsi="楷体" w:eastAsia="楷体_GB2312" w:cs="楷体"/>
          <w:sz w:val="32"/>
          <w:szCs w:val="32"/>
        </w:rPr>
      </w:pPr>
    </w:p>
    <w:p w14:paraId="6BB7EC78">
      <w:pPr>
        <w:spacing w:line="572" w:lineRule="exact"/>
        <w:jc w:val="left"/>
        <w:rPr>
          <w:rFonts w:ascii="楷体_GB2312" w:hAnsi="楷体" w:eastAsia="楷体_GB2312" w:cs="楷体"/>
          <w:sz w:val="32"/>
          <w:szCs w:val="32"/>
        </w:rPr>
      </w:pPr>
    </w:p>
    <w:p w14:paraId="00FECABC">
      <w:pPr>
        <w:spacing w:line="572" w:lineRule="exact"/>
        <w:jc w:val="left"/>
        <w:rPr>
          <w:rFonts w:ascii="楷体_GB2312" w:hAnsi="楷体" w:eastAsia="楷体_GB2312" w:cs="楷体"/>
          <w:sz w:val="32"/>
          <w:szCs w:val="32"/>
        </w:rPr>
      </w:pPr>
      <w:r>
        <w:rPr>
          <w:rFonts w:hint="eastAsia" w:ascii="楷体_GB2312" w:hAnsi="楷体" w:eastAsia="楷体_GB2312" w:cs="楷体"/>
          <w:sz w:val="32"/>
          <w:szCs w:val="32"/>
        </w:rPr>
        <w:t>提案编号：021</w:t>
      </w:r>
    </w:p>
    <w:p w14:paraId="7A5B395B">
      <w:pPr>
        <w:spacing w:line="572" w:lineRule="exact"/>
        <w:jc w:val="left"/>
        <w:rPr>
          <w:rFonts w:ascii="楷体_GB2312" w:hAnsi="楷体" w:eastAsia="楷体_GB2312" w:cs="楷体"/>
          <w:sz w:val="32"/>
          <w:szCs w:val="32"/>
        </w:rPr>
      </w:pPr>
      <w:r>
        <w:rPr>
          <w:rFonts w:hint="eastAsia" w:ascii="楷体_GB2312" w:hAnsi="楷体" w:eastAsia="楷体_GB2312" w:cs="楷体"/>
          <w:sz w:val="32"/>
          <w:szCs w:val="32"/>
        </w:rPr>
        <w:t>提案名称：关于推动数字金融发展提升金融服务质效的提案</w:t>
      </w:r>
    </w:p>
    <w:p w14:paraId="7C0543DA">
      <w:pPr>
        <w:spacing w:line="572" w:lineRule="exact"/>
        <w:jc w:val="left"/>
        <w:rPr>
          <w:rFonts w:ascii="楷体_GB2312" w:hAnsi="楷体" w:eastAsia="楷体_GB2312" w:cs="楷体"/>
          <w:sz w:val="32"/>
          <w:szCs w:val="32"/>
        </w:rPr>
      </w:pPr>
      <w:r>
        <w:rPr>
          <w:rFonts w:hint="eastAsia" w:ascii="楷体_GB2312" w:hAnsi="楷体" w:eastAsia="楷体_GB2312" w:cs="楷体"/>
          <w:sz w:val="32"/>
          <w:szCs w:val="32"/>
        </w:rPr>
        <w:t>提 案 人：王佳</w:t>
      </w:r>
    </w:p>
    <w:p w14:paraId="269C8790">
      <w:pPr>
        <w:spacing w:line="572" w:lineRule="exact"/>
        <w:jc w:val="left"/>
        <w:rPr>
          <w:rFonts w:ascii="楷体_GB2312" w:hAnsi="楷体" w:eastAsia="楷体_GB2312" w:cs="楷体"/>
          <w:sz w:val="32"/>
          <w:szCs w:val="32"/>
        </w:rPr>
      </w:pPr>
      <w:r>
        <w:rPr>
          <w:rFonts w:hint="eastAsia" w:ascii="楷体_GB2312" w:hAnsi="楷体" w:eastAsia="楷体_GB2312" w:cs="楷体"/>
          <w:sz w:val="32"/>
          <w:szCs w:val="32"/>
        </w:rPr>
        <w:t>联系方式：18404766633</w:t>
      </w:r>
    </w:p>
    <w:p w14:paraId="19F8EF05">
      <w:pPr>
        <w:spacing w:line="572" w:lineRule="exact"/>
        <w:jc w:val="left"/>
        <w:rPr>
          <w:rFonts w:ascii="楷体_GB2312" w:hAnsi="楷体" w:eastAsia="楷体_GB2312" w:cs="楷体"/>
          <w:sz w:val="32"/>
          <w:szCs w:val="32"/>
        </w:rPr>
      </w:pPr>
      <w:r>
        <w:rPr>
          <w:rFonts w:hint="eastAsia" w:ascii="楷体_GB2312" w:hAnsi="楷体" w:eastAsia="楷体_GB2312" w:cs="楷体"/>
          <w:sz w:val="32"/>
          <w:szCs w:val="32"/>
        </w:rPr>
        <w:t>界    别：经济企业</w:t>
      </w:r>
    </w:p>
    <w:p w14:paraId="0A4CA47F">
      <w:pPr>
        <w:spacing w:line="572" w:lineRule="exact"/>
        <w:ind w:firstLine="64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关于推动数字金融发展提升金融服务质效的提案</w:t>
      </w:r>
    </w:p>
    <w:p w14:paraId="522820D2">
      <w:pPr>
        <w:spacing w:line="572" w:lineRule="exact"/>
        <w:ind w:firstLine="640"/>
        <w:jc w:val="center"/>
        <w:rPr>
          <w:rFonts w:ascii="方正小标宋简体" w:hAnsi="方正小标宋简体" w:eastAsia="方正小标宋简体" w:cs="方正小标宋简体"/>
          <w:b/>
          <w:bCs/>
          <w:sz w:val="44"/>
          <w:szCs w:val="44"/>
        </w:rPr>
      </w:pPr>
    </w:p>
    <w:p w14:paraId="49EA8286">
      <w:pPr>
        <w:spacing w:line="572" w:lineRule="exact"/>
        <w:jc w:val="left"/>
        <w:rPr>
          <w:rFonts w:ascii="仿宋_GB2312" w:hAnsi="仿宋_GB2312" w:eastAsia="仿宋_GB2312" w:cs="仿宋_GB2312"/>
          <w:sz w:val="32"/>
          <w:szCs w:val="32"/>
        </w:rPr>
      </w:pPr>
      <w:r>
        <w:rPr>
          <w:rFonts w:hint="eastAsia" w:ascii="黑体" w:hAnsi="黑体" w:eastAsia="黑体" w:cs="黑体"/>
          <w:sz w:val="32"/>
          <w:szCs w:val="32"/>
        </w:rPr>
        <w:t>一、数字金融发展基本情况</w:t>
      </w:r>
    </w:p>
    <w:p w14:paraId="1DB53383">
      <w:pPr>
        <w:spacing w:line="572"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数字金融作为金融科技与金融服务深度融合的产物，正逐步改变着传统金融业态，</w:t>
      </w:r>
      <w:r>
        <w:rPr>
          <w:rFonts w:hint="eastAsia" w:ascii="仿宋_GB2312" w:hAnsi="仿宋_GB2312" w:eastAsia="仿宋_GB2312" w:cs="仿宋_GB2312"/>
          <w:sz w:val="32"/>
          <w:szCs w:val="32"/>
        </w:rPr>
        <w:t>在以下几个方面为提高金融服务质效起到了显著作用</w:t>
      </w:r>
      <w:r>
        <w:rPr>
          <w:rFonts w:ascii="仿宋_GB2312" w:hAnsi="仿宋_GB2312" w:eastAsia="仿宋_GB2312" w:cs="仿宋_GB2312"/>
          <w:sz w:val="32"/>
          <w:szCs w:val="32"/>
        </w:rPr>
        <w:t>。</w:t>
      </w:r>
    </w:p>
    <w:p w14:paraId="73E23ECB">
      <w:pPr>
        <w:spacing w:line="572" w:lineRule="exact"/>
        <w:ind w:firstLine="640" w:firstLineChars="200"/>
        <w:jc w:val="left"/>
        <w:rPr>
          <w:rFonts w:ascii="仿宋_GB2312" w:hAnsi="仿宋_GB2312" w:eastAsia="仿宋_GB2312" w:cs="仿宋_GB2312"/>
          <w:sz w:val="32"/>
          <w:szCs w:val="32"/>
        </w:rPr>
      </w:pPr>
      <w:r>
        <w:rPr>
          <w:rFonts w:hint="eastAsia" w:ascii="楷体_GB2312" w:hAnsi="楷体" w:eastAsia="楷体_GB2312" w:cs="楷体"/>
          <w:sz w:val="32"/>
          <w:szCs w:val="32"/>
        </w:rPr>
        <w:t>（一）提高了金融服务效率与便捷性</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数字金融通过大数据、人工智能等技术手段，实现了金融服务的智能化和自动化。例如，移动支付、在线理财、智能投顾等创新服务，使得消费者和企业可以随时随地获取所需金融服务，极大地提升了金融服务的便捷性。同时，这些技术也优化了金融业务流程，缩短了服务时间，提高了金融服务效率。</w:t>
      </w:r>
    </w:p>
    <w:p w14:paraId="0D22612D">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（二）推动了金融服务普惠化.</w:t>
      </w:r>
      <w:r>
        <w:rPr>
          <w:rFonts w:ascii="仿宋_GB2312" w:hAnsi="仿宋_GB2312" w:eastAsia="仿宋_GB2312" w:cs="仿宋_GB2312"/>
          <w:sz w:val="32"/>
          <w:szCs w:val="32"/>
        </w:rPr>
        <w:t>数字金融打破了传统金融服务的地理和时间限制，为中小企业和个人提供了更为便捷、低成本的融资渠道。通过大数据风控、智能信贷等技术手段，金融机构能够更精准地评估借款人的信用状况，有效降低信息不对称，使得原本难以获得正规金融服务的长尾群体也能享受到普惠金融的便利。这不仅促进了资金的有效配置，还增强了金融服务的包容性。</w:t>
      </w:r>
    </w:p>
    <w:p w14:paraId="533A95C4">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（三）优化了金融资源配置.</w:t>
      </w:r>
      <w:r>
        <w:rPr>
          <w:rFonts w:ascii="仿宋_GB2312" w:hAnsi="仿宋_GB2312" w:eastAsia="仿宋_GB2312" w:cs="仿宋_GB2312"/>
          <w:sz w:val="32"/>
          <w:szCs w:val="32"/>
        </w:rPr>
        <w:t>数字金融通过数据驱动的方式，能够更精准地识别市场机会和潜在风险，为金融机构提供精准的市场分析和风险评估。这有助于金融机构优化资源配置，将资金投向更具潜力的领域和项目，从而提高金融服务的针对性和有效性。同时，数字金融还促进了金融资源的跨区域流动，增强了金融市场的连通性和透明度。</w:t>
      </w:r>
    </w:p>
    <w:p w14:paraId="60A54040">
      <w:pPr>
        <w:spacing w:line="572" w:lineRule="exact"/>
        <w:ind w:firstLine="640" w:firstLineChars="200"/>
        <w:jc w:val="left"/>
        <w:rPr>
          <w:rFonts w:ascii="楷体_GB2312" w:hAnsi="仿宋_GB2312" w:eastAsia="楷体_GB2312" w:cs="仿宋_GB2312"/>
          <w:sz w:val="32"/>
          <w:szCs w:val="32"/>
        </w:rPr>
      </w:pPr>
      <w:r>
        <w:rPr>
          <w:rFonts w:hint="eastAsia" w:ascii="楷体_GB2312" w:hAnsi="楷体" w:eastAsia="楷体_GB2312" w:cs="楷体"/>
          <w:sz w:val="32"/>
          <w:szCs w:val="32"/>
        </w:rPr>
        <w:t>（四）提升了金融服务质量</w:t>
      </w:r>
      <w:r>
        <w:rPr>
          <w:rFonts w:hint="eastAsia" w:ascii="楷体_GB2312" w:hAnsi="仿宋_GB2312" w:eastAsia="楷体_GB2312" w:cs="仿宋_GB2312"/>
          <w:sz w:val="32"/>
          <w:szCs w:val="32"/>
        </w:rPr>
        <w:t>.</w:t>
      </w:r>
      <w:r>
        <w:rPr>
          <w:rFonts w:ascii="仿宋_GB2312" w:hAnsi="仿宋_GB2312" w:eastAsia="仿宋_GB2312" w:cs="仿宋_GB2312"/>
          <w:sz w:val="32"/>
          <w:szCs w:val="32"/>
        </w:rPr>
        <w:t>数字金融的发展推动了金融机构的创新和变革。金融机构纷纷利用数字技术提升服务质量，如通过大数据分析客户需求，提供个性化金融服务；利用人工智能技术提升客户服务体验等。这些创新举措不仅提升了金融服务的智能化水平，还增强了金融服务的竞争力和客户满意度。</w:t>
      </w:r>
    </w:p>
    <w:p w14:paraId="2AA8EF21">
      <w:pPr>
        <w:spacing w:line="572" w:lineRule="exact"/>
        <w:ind w:firstLine="640" w:firstLineChars="200"/>
        <w:jc w:val="left"/>
        <w:rPr>
          <w:rFonts w:ascii="楷体_GB2312" w:hAnsi="仿宋_GB2312" w:eastAsia="楷体_GB2312" w:cs="仿宋_GB2312"/>
          <w:sz w:val="32"/>
          <w:szCs w:val="32"/>
        </w:rPr>
      </w:pPr>
      <w:r>
        <w:rPr>
          <w:rFonts w:hint="eastAsia" w:ascii="楷体_GB2312" w:hAnsi="楷体" w:eastAsia="楷体_GB2312" w:cs="楷体"/>
          <w:sz w:val="32"/>
          <w:szCs w:val="32"/>
        </w:rPr>
        <w:t>(五)强化了风险防控能力</w:t>
      </w:r>
      <w:r>
        <w:rPr>
          <w:rFonts w:hint="eastAsia" w:ascii="楷体_GB2312" w:hAnsi="仿宋_GB2312" w:eastAsia="楷体_GB2312" w:cs="仿宋_GB2312"/>
          <w:sz w:val="32"/>
          <w:szCs w:val="32"/>
        </w:rPr>
        <w:t>.</w:t>
      </w:r>
      <w:r>
        <w:rPr>
          <w:rFonts w:ascii="仿宋_GB2312" w:hAnsi="仿宋_GB2312" w:eastAsia="仿宋_GB2312" w:cs="仿宋_GB2312"/>
          <w:sz w:val="32"/>
          <w:szCs w:val="32"/>
        </w:rPr>
        <w:t>数字金融在提升金融服务的同时，也注重风险防控。通过大数据、人工智能等技术手段，金融机构能够构建全方位、智能化的风险监测预警体系，有效识别、评估、防控金融风险。这不仅提升了金融系统的稳定性，也为经济社会的持续健康发展提供了坚实保障。</w:t>
      </w:r>
    </w:p>
    <w:p w14:paraId="6303C1B6">
      <w:pPr>
        <w:spacing w:line="572"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作为银行从业人员，我们深刻认识到数字金融在提升金融服务效率、拓宽金融服务范围、增强金融普惠性等方面的重要作用。然而，数字金融的快速发展也伴随着一系列风险和挑战，如信息安全问题、监管滞后、用户体验不佳等。因此，</w:t>
      </w:r>
      <w:r>
        <w:rPr>
          <w:rFonts w:hint="eastAsia" w:ascii="仿宋_GB2312" w:hAnsi="仿宋_GB2312" w:eastAsia="仿宋_GB2312" w:cs="仿宋_GB2312"/>
          <w:sz w:val="32"/>
          <w:szCs w:val="32"/>
        </w:rPr>
        <w:t>本提案</w:t>
      </w:r>
      <w:r>
        <w:rPr>
          <w:rFonts w:ascii="仿宋_GB2312" w:hAnsi="仿宋_GB2312" w:eastAsia="仿宋_GB2312" w:cs="仿宋_GB2312"/>
          <w:sz w:val="32"/>
          <w:szCs w:val="32"/>
        </w:rPr>
        <w:t>旨在推动数字金融的健康、可持续发展</w:t>
      </w:r>
      <w:r>
        <w:rPr>
          <w:rFonts w:hint="eastAsia" w:ascii="仿宋_GB2312" w:hAnsi="仿宋_GB2312" w:eastAsia="仿宋_GB2312" w:cs="仿宋_GB2312"/>
          <w:sz w:val="32"/>
          <w:szCs w:val="32"/>
        </w:rPr>
        <w:t>，从而更好的提升金融服务实体的质量与效率</w:t>
      </w:r>
      <w:r>
        <w:rPr>
          <w:rFonts w:ascii="仿宋_GB2312" w:hAnsi="仿宋_GB2312" w:eastAsia="仿宋_GB2312" w:cs="仿宋_GB2312"/>
          <w:sz w:val="32"/>
          <w:szCs w:val="32"/>
        </w:rPr>
        <w:t>。</w:t>
      </w:r>
    </w:p>
    <w:p w14:paraId="4F7DDB06">
      <w:pPr>
        <w:spacing w:line="572" w:lineRule="exact"/>
        <w:jc w:val="left"/>
        <w:rPr>
          <w:rFonts w:ascii="仿宋_GB2312" w:hAnsi="仿宋_GB2312" w:eastAsia="仿宋_GB2312" w:cs="仿宋_GB2312"/>
          <w:sz w:val="32"/>
          <w:szCs w:val="32"/>
        </w:rPr>
      </w:pPr>
      <w:r>
        <w:rPr>
          <w:rFonts w:ascii="黑体" w:hAnsi="黑体" w:eastAsia="黑体" w:cs="黑体"/>
          <w:sz w:val="32"/>
          <w:szCs w:val="32"/>
        </w:rPr>
        <w:t>二、数字金融发展</w:t>
      </w:r>
      <w:r>
        <w:rPr>
          <w:rFonts w:hint="eastAsia" w:ascii="黑体" w:hAnsi="黑体" w:eastAsia="黑体" w:cs="黑体"/>
          <w:sz w:val="32"/>
          <w:szCs w:val="32"/>
        </w:rPr>
        <w:t>过程中</w:t>
      </w:r>
      <w:r>
        <w:rPr>
          <w:rFonts w:ascii="黑体" w:hAnsi="黑体" w:eastAsia="黑体" w:cs="黑体"/>
          <w:sz w:val="32"/>
          <w:szCs w:val="32"/>
        </w:rPr>
        <w:t>存在的问题</w:t>
      </w:r>
    </w:p>
    <w:p w14:paraId="4B3086D5">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（一） 监管体系不完善.</w:t>
      </w:r>
      <w:r>
        <w:rPr>
          <w:rFonts w:ascii="仿宋_GB2312" w:hAnsi="仿宋_GB2312" w:eastAsia="仿宋_GB2312" w:cs="仿宋_GB2312"/>
          <w:sz w:val="32"/>
          <w:szCs w:val="32"/>
        </w:rPr>
        <w:t>尽管近年来金融监管机构在加强数字金融监管方面做出了诸多努力，但监管体系仍不够完善。</w:t>
      </w:r>
      <w:r>
        <w:rPr>
          <w:rFonts w:hint="eastAsia" w:ascii="仿宋_GB2312" w:hAnsi="仿宋_GB2312" w:eastAsia="仿宋_GB2312" w:cs="仿宋_GB2312"/>
          <w:sz w:val="32"/>
          <w:szCs w:val="32"/>
        </w:rPr>
        <w:t>一方面大</w:t>
      </w:r>
      <w:r>
        <w:rPr>
          <w:rFonts w:ascii="仿宋_GB2312" w:hAnsi="仿宋_GB2312" w:eastAsia="仿宋_GB2312" w:cs="仿宋_GB2312"/>
          <w:sz w:val="32"/>
          <w:szCs w:val="32"/>
        </w:rPr>
        <w:t>数字金融的跨行业、跨市场特性使得监管难度加大，容易出现监管空白和监管重叠；</w:t>
      </w:r>
    </w:p>
    <w:p w14:paraId="65C694DD">
      <w:pPr>
        <w:spacing w:line="572"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另一方面，</w:t>
      </w:r>
      <w:r>
        <w:rPr>
          <w:rFonts w:ascii="仿宋_GB2312" w:hAnsi="仿宋_GB2312" w:eastAsia="仿宋_GB2312" w:cs="仿宋_GB2312"/>
          <w:sz w:val="32"/>
          <w:szCs w:val="32"/>
        </w:rPr>
        <w:t>监管技术和手段相对滞后，难以有效应对数字金融领域的新风险和新挑战。</w:t>
      </w:r>
    </w:p>
    <w:p w14:paraId="317EBECE">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（二）信息安全风险突出.</w:t>
      </w:r>
      <w:r>
        <w:rPr>
          <w:rFonts w:ascii="仿宋_GB2312" w:hAnsi="仿宋_GB2312" w:eastAsia="仿宋_GB2312" w:cs="仿宋_GB2312"/>
          <w:sz w:val="32"/>
          <w:szCs w:val="32"/>
        </w:rPr>
        <w:t>数字金融高度依赖网络信息技术，信息安全风险成为制约其发展的关键因素。黑客攻击、数据泄露、网络诈骗等事件频发，严重威胁着用户的信息和资金安全。同时，部分金融机构在信息安全保护方面的投入不足，安全防护能力较弱。</w:t>
      </w:r>
    </w:p>
    <w:p w14:paraId="7D71EF5A">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（三）信用评估体系不健全.</w:t>
      </w:r>
      <w:r>
        <w:rPr>
          <w:rFonts w:ascii="仿宋_GB2312" w:hAnsi="仿宋_GB2312" w:eastAsia="仿宋_GB2312" w:cs="仿宋_GB2312"/>
          <w:sz w:val="32"/>
          <w:szCs w:val="32"/>
        </w:rPr>
        <w:t>数字金融交易双方往往缺乏面对面的交流和实地考察，信用评估难度较大。部分借款人可能故意提供虚假信息或恶意违约，导致金融机构面临较大的信用风险。此外，信用信息共享机制不完善，也制约了数字金融的健康发展。</w:t>
      </w:r>
    </w:p>
    <w:p w14:paraId="6F47865C">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（四）技术创新与风险防控失衡.</w:t>
      </w:r>
      <w:r>
        <w:rPr>
          <w:rFonts w:ascii="仿宋_GB2312" w:hAnsi="仿宋_GB2312" w:eastAsia="仿宋_GB2312" w:cs="仿宋_GB2312"/>
          <w:sz w:val="32"/>
          <w:szCs w:val="32"/>
        </w:rPr>
        <w:t>在数字金融领域，技术创新与风险防控往往存在失衡现象。一方面，金融机构为了抢占市场先机，过度追求技术创新和业务拓展，忽视了风险防控的重要性；另一方面，部分金融机构在风险防控方面的投入不足，缺乏有效的风险监测和预警机制。</w:t>
      </w:r>
    </w:p>
    <w:p w14:paraId="3BADE6B0">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（五）法律法规滞后.</w:t>
      </w:r>
      <w:r>
        <w:rPr>
          <w:rFonts w:ascii="仿宋_GB2312" w:hAnsi="仿宋_GB2312" w:eastAsia="仿宋_GB2312" w:cs="仿宋_GB2312"/>
          <w:sz w:val="32"/>
          <w:szCs w:val="32"/>
        </w:rPr>
        <w:t>目前，针对数字金融的法律法规尚不完善，部分新业务和新产品缺乏明确的法律规定和约束。这导致金融纠纷难以得到有效解决，也制约了数字金融的创新和发展。</w:t>
      </w:r>
    </w:p>
    <w:p w14:paraId="32112B48">
      <w:pPr>
        <w:spacing w:line="572" w:lineRule="exact"/>
        <w:jc w:val="left"/>
        <w:rPr>
          <w:rFonts w:ascii="黑体" w:hAnsi="黑体" w:eastAsia="黑体" w:cs="黑体"/>
          <w:sz w:val="32"/>
          <w:szCs w:val="32"/>
        </w:rPr>
      </w:pPr>
      <w:r>
        <w:rPr>
          <w:rFonts w:ascii="黑体" w:hAnsi="黑体" w:eastAsia="黑体" w:cs="黑体"/>
          <w:sz w:val="32"/>
          <w:szCs w:val="32"/>
        </w:rPr>
        <w:t>三、建议</w:t>
      </w:r>
    </w:p>
    <w:p w14:paraId="14717C08">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（一） 完善监管体系.</w:t>
      </w:r>
      <w:r>
        <w:rPr>
          <w:rFonts w:ascii="仿宋_GB2312" w:hAnsi="仿宋_GB2312" w:eastAsia="仿宋_GB2312" w:cs="仿宋_GB2312"/>
          <w:sz w:val="32"/>
          <w:szCs w:val="32"/>
        </w:rPr>
        <w:t>建议金融监管机构加强跨行业、跨市场的监管协调，消除监管空白和监管重叠。同时，加大监管技术和手段的创新力度，提高监管的针对性和有效性。此外，还应建立健全数字金融风险监测和预警机制，及时发现和处置风险隐患。</w:t>
      </w:r>
    </w:p>
    <w:p w14:paraId="5BF2726C">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（二）加强信息安全保护.</w:t>
      </w:r>
      <w:r>
        <w:rPr>
          <w:rFonts w:ascii="仿宋_GB2312" w:hAnsi="仿宋_GB2312" w:eastAsia="仿宋_GB2312" w:cs="仿宋_GB2312"/>
          <w:sz w:val="32"/>
          <w:szCs w:val="32"/>
        </w:rPr>
        <w:t>金融机构应加大在信息安全方面的投入，采用先进的加密技术、身份认证技术和防火墙等手段，保障用户信息和资金的安全。同时，加强员工的信息安全意识培训，建立完善的信息安全管理制度和应急预案。政府也应加强对金融机构信息安全保护的监管和指导。</w:t>
      </w:r>
    </w:p>
    <w:p w14:paraId="2A689EDA">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（三） 健全信用评估体系.</w:t>
      </w:r>
      <w:r>
        <w:rPr>
          <w:rFonts w:ascii="仿宋_GB2312" w:hAnsi="仿宋_GB2312" w:eastAsia="仿宋_GB2312" w:cs="仿宋_GB2312"/>
          <w:sz w:val="32"/>
          <w:szCs w:val="32"/>
        </w:rPr>
        <w:t>建议建立统一的数字金融信用评估体系，整合各方信用数据，实现信用信息的共享和互联互通。同时，加强对违约行为的惩戒力度，提高借款人的违约成本。此外，还应鼓励金融机构利用大数据、人工智能等技术手段提高信用评估的准确性和效率。</w:t>
      </w:r>
    </w:p>
    <w:p w14:paraId="519F8CA3">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（四）平衡技术创新与风险防控.</w:t>
      </w:r>
      <w:r>
        <w:rPr>
          <w:rFonts w:ascii="仿宋_GB2312" w:hAnsi="仿宋_GB2312" w:eastAsia="仿宋_GB2312" w:cs="仿宋_GB2312"/>
          <w:sz w:val="32"/>
          <w:szCs w:val="32"/>
        </w:rPr>
        <w:t>金融机构在追求技术创新和业务拓展的同时，应更加注重风险防控的重要性。建议金融机构建立健全风险监测和预警机制，加强对新业务和新产品的风险评估和监测。同时，政府也应加强对金融机构风险防控的监管和指导，推动金融机构实现技术创新与风险防控的平衡发展。</w:t>
      </w:r>
    </w:p>
    <w:p w14:paraId="5BA90C9F">
      <w:pPr>
        <w:spacing w:line="572" w:lineRule="exact"/>
        <w:ind w:firstLine="640" w:firstLineChars="200"/>
        <w:jc w:val="left"/>
        <w:rPr>
          <w:rFonts w:ascii="楷体_GB2312" w:hAnsi="楷体" w:eastAsia="楷体_GB2312" w:cs="楷体"/>
          <w:sz w:val="32"/>
          <w:szCs w:val="32"/>
        </w:rPr>
      </w:pPr>
      <w:r>
        <w:rPr>
          <w:rFonts w:hint="eastAsia" w:ascii="楷体_GB2312" w:hAnsi="楷体" w:eastAsia="楷体_GB2312" w:cs="楷体"/>
          <w:sz w:val="32"/>
          <w:szCs w:val="32"/>
        </w:rPr>
        <w:t>（五）完善法律法规.</w:t>
      </w:r>
      <w:r>
        <w:rPr>
          <w:rFonts w:ascii="仿宋_GB2312" w:hAnsi="仿宋_GB2312" w:eastAsia="仿宋_GB2312" w:cs="仿宋_GB2312"/>
          <w:sz w:val="32"/>
          <w:szCs w:val="32"/>
        </w:rPr>
        <w:t>立法部门应加快出台针对数字金融的专门法律法规，明确数字金融机构的法律地位、业务范围、监管规则等。同时，加强对数字金融法律法规的宣传和普及，提高公众的法律意识。此外，还应建立健全数字金融纠纷解决机制，为金融消费者提供有效的法律保障。</w:t>
      </w:r>
    </w:p>
    <w:p w14:paraId="5C7A151A">
      <w:pPr>
        <w:spacing w:line="572"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数字金融作为金融科技与金融服务深度融合的产物，具有广阔的发展前景和巨大的市场潜力。然而，在快速发展的过程中，数字金融面临</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诸多挑战和问题。通过完善监管体系、加强信息安全保护、健全信用评估体系、平衡技术创新与风险防控以及完善法律法规等措施，我们可以有效解决数字金融发展中存在的问题，推动其实现更加健康、有序的发展。</w:t>
      </w:r>
    </w:p>
    <w:p w14:paraId="6863C893">
      <w:pPr>
        <w:spacing w:line="572" w:lineRule="exact"/>
        <w:jc w:val="left"/>
        <w:rPr>
          <w:rFonts w:ascii="楷体" w:hAnsi="楷体" w:eastAsia="楷体" w:cs="楷体"/>
          <w:sz w:val="32"/>
          <w:szCs w:val="32"/>
        </w:rPr>
      </w:pPr>
    </w:p>
    <w:p w14:paraId="3EB7648A">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7BF191F6">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6E7BA430">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46AB2502">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733A2AEF">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1D0AEC26">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2FB9222F">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1DA35B21">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4087D3CB">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132583AA">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1BDD9BC8">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57B2CB5C">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提案编号：022</w:t>
      </w:r>
    </w:p>
    <w:p w14:paraId="1BE7A536">
      <w:pPr>
        <w:spacing w:line="580" w:lineRule="exact"/>
        <w:rPr>
          <w:rFonts w:ascii="楷体_GB2312" w:hAnsi="方正小标宋简体" w:eastAsia="楷体_GB2312" w:cs="方正小标宋简体"/>
          <w:sz w:val="32"/>
          <w:szCs w:val="32"/>
        </w:rPr>
      </w:pPr>
      <w:r>
        <w:rPr>
          <w:rFonts w:hint="eastAsia" w:ascii="楷体_GB2312" w:hAnsi="方正楷体_GBK" w:eastAsia="楷体_GB2312" w:cs="方正楷体_GBK"/>
          <w:color w:val="000000"/>
          <w:spacing w:val="5"/>
          <w:sz w:val="32"/>
          <w:szCs w:val="32"/>
        </w:rPr>
        <w:t>提案名称：关于</w:t>
      </w:r>
      <w:r>
        <w:rPr>
          <w:rFonts w:hint="eastAsia" w:ascii="楷体_GB2312" w:hAnsi="方正小标宋简体" w:eastAsia="楷体_GB2312" w:cs="方正小标宋简体"/>
          <w:sz w:val="32"/>
          <w:szCs w:val="32"/>
        </w:rPr>
        <w:t>推进全旗农村集体经济高质量发展的</w:t>
      </w:r>
    </w:p>
    <w:p w14:paraId="282495C2">
      <w:pPr>
        <w:spacing w:line="580" w:lineRule="exact"/>
        <w:ind w:firstLine="1600" w:firstLineChars="500"/>
        <w:rPr>
          <w:rFonts w:ascii="楷体_GB2312" w:hAnsi="仿宋_GB2312" w:eastAsia="楷体_GB2312" w:cs="仿宋_GB2312"/>
          <w:sz w:val="32"/>
          <w:szCs w:val="32"/>
        </w:rPr>
      </w:pPr>
      <w:r>
        <w:rPr>
          <w:rFonts w:hint="eastAsia" w:ascii="楷体_GB2312" w:hAnsi="方正小标宋简体" w:eastAsia="楷体_GB2312" w:cs="方正小标宋简体"/>
          <w:sz w:val="32"/>
          <w:szCs w:val="32"/>
        </w:rPr>
        <w:t>实践与探索的提案</w:t>
      </w:r>
    </w:p>
    <w:p w14:paraId="30BA1B35">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 案 人：乌海涛</w:t>
      </w:r>
    </w:p>
    <w:p w14:paraId="610DA49C">
      <w:pPr>
        <w:spacing w:line="560" w:lineRule="exact"/>
        <w:rPr>
          <w:rFonts w:ascii="楷体_GB2312" w:hAnsi="华文仿宋" w:eastAsia="楷体_GB2312" w:cs="华文仿宋"/>
          <w:kern w:val="0"/>
          <w:sz w:val="32"/>
          <w:szCs w:val="32"/>
        </w:rPr>
      </w:pPr>
      <w:r>
        <w:rPr>
          <w:rFonts w:hint="eastAsia" w:ascii="楷体_GB2312" w:hAnsi="方正楷体_GBK" w:eastAsia="楷体_GB2312" w:cs="方正楷体_GBK"/>
          <w:color w:val="000000"/>
          <w:spacing w:val="5"/>
          <w:sz w:val="32"/>
          <w:szCs w:val="32"/>
        </w:rPr>
        <w:t>联系方式：18247639606</w:t>
      </w:r>
    </w:p>
    <w:p w14:paraId="0338727F">
      <w:pPr>
        <w:pStyle w:val="11"/>
        <w:widowControl/>
        <w:tabs>
          <w:tab w:val="center" w:pos="4153"/>
        </w:tabs>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界    别：中国共产党</w:t>
      </w:r>
    </w:p>
    <w:p w14:paraId="62CE0135">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关于推进全旗农村集体经济高质量发展的</w:t>
      </w:r>
    </w:p>
    <w:p w14:paraId="064DFF5C">
      <w:pPr>
        <w:spacing w:line="580" w:lineRule="exact"/>
        <w:jc w:val="center"/>
        <w:rPr>
          <w:rFonts w:ascii="仿宋_GB2312" w:hAnsi="仿宋_GB2312" w:eastAsia="方正小标宋简体" w:cs="仿宋_GB2312"/>
          <w:sz w:val="32"/>
          <w:szCs w:val="32"/>
        </w:rPr>
      </w:pPr>
      <w:r>
        <w:rPr>
          <w:rFonts w:hint="eastAsia" w:ascii="方正小标宋简体" w:hAnsi="方正小标宋简体" w:eastAsia="方正小标宋简体" w:cs="方正小标宋简体"/>
          <w:sz w:val="44"/>
          <w:szCs w:val="44"/>
        </w:rPr>
        <w:t>实践与探索的提案</w:t>
      </w:r>
    </w:p>
    <w:p w14:paraId="2A4ED3DB">
      <w:pPr>
        <w:spacing w:line="580" w:lineRule="exact"/>
        <w:ind w:firstLine="640" w:firstLineChars="200"/>
        <w:rPr>
          <w:rFonts w:ascii="黑体" w:hAnsi="黑体" w:eastAsia="黑体" w:cs="黑体"/>
          <w:sz w:val="32"/>
          <w:szCs w:val="32"/>
        </w:rPr>
      </w:pPr>
    </w:p>
    <w:p w14:paraId="3DEB093F">
      <w:pPr>
        <w:spacing w:line="58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一、当前全旗村集体经济发展现状</w:t>
      </w:r>
    </w:p>
    <w:p w14:paraId="46C5692E">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（一）农村集体经济规模与收入状况。</w:t>
      </w:r>
      <w:r>
        <w:rPr>
          <w:rFonts w:hint="eastAsia" w:ascii="仿宋_GB2312" w:hAnsi="仿宋_GB2312" w:eastAsia="仿宋_GB2312" w:cs="仿宋_GB2312"/>
          <w:sz w:val="32"/>
          <w:szCs w:val="32"/>
        </w:rPr>
        <w:t>近年来，全旗村集体经济规模持续扩大，收入显著增加。截至2024年12月，全旗161个村的村集体经济收入总额达到4178.92万元，所有行政村的集体经济收入均超过10万元。其中，收入在10万元至15万元的村有56个，占比35%；15万元至20万元的村9个，占比7%；20万元至50万元的村70个，占比43%；集体经济收入超过50万元的村26个，占比16%。这一数据相较于过去几年，有了显著的提升，显示出喀喇沁旗在村集体经济上的发展势头强劲。</w:t>
      </w:r>
    </w:p>
    <w:p w14:paraId="3D4AAA21">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（二）农村产业结构。</w:t>
      </w:r>
      <w:r>
        <w:rPr>
          <w:rFonts w:hint="eastAsia" w:ascii="仿宋_GB2312" w:hAnsi="仿宋_GB2312" w:eastAsia="仿宋_GB2312" w:cs="仿宋_GB2312"/>
          <w:sz w:val="32"/>
          <w:szCs w:val="32"/>
        </w:rPr>
        <w:t>村集体经济的产业结构日趋多元化，形成了入股企业分红、入股农业类专业合作社分红、集体资源或固定资产出租、发展产业营收等多种收入来源。特别是近年来，喀喇沁旗积极探索“一村一策”的发展模式，鼓励各村根据自身实际情况，因地制宜地发展特色产业。比如，牛家营子镇牛家营子村、王爷府镇下瓦房村利用当地资源优势，发展中蒙药材、硬果番茄种植；王爷府镇三家村、西桥镇雷营子村则依托地理位置优势，发展乡村旅游、农家乐等项目。这些多元化的产业项目不仅为村集体带来了可观的经济收入，也促进了当地农民的就业和增收。</w:t>
      </w:r>
    </w:p>
    <w:p w14:paraId="66F61E8C">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（三）发展趋势。</w:t>
      </w:r>
      <w:r>
        <w:rPr>
          <w:rFonts w:hint="eastAsia" w:ascii="仿宋_GB2312" w:hAnsi="仿宋_GB2312" w:eastAsia="仿宋_GB2312" w:cs="仿宋_GB2312"/>
          <w:sz w:val="32"/>
          <w:szCs w:val="32"/>
        </w:rPr>
        <w:t>从当前的发展趋势来看，村集体经济正呈现出以下几个特点：</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规模持续扩大、收入稳步增长；</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产业结构不断优化、多元化发展特征明显；</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创新驱动能力增强，新技术、新业态在村集体经济中的应用日益广泛；</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政策扶持力度持续加大，为村集体经济的发展提供了有力保障。</w:t>
      </w:r>
    </w:p>
    <w:p w14:paraId="3219D075">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二、存在问题</w:t>
      </w:r>
    </w:p>
    <w:p w14:paraId="1F06031E">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（一）部分村基础薄弱，发展不平衡。</w:t>
      </w:r>
      <w:r>
        <w:rPr>
          <w:rFonts w:hint="eastAsia" w:ascii="仿宋_GB2312" w:hAnsi="仿宋_GB2312" w:eastAsia="仿宋_GB2312" w:cs="仿宋_GB2312"/>
          <w:sz w:val="32"/>
          <w:szCs w:val="32"/>
        </w:rPr>
        <w:t>部分村地理位置较为偏僻，山多地少，可供开发利用的资源有限，导致这些村的集体经济发展先天不足。同时，由于青壮年劳动力的大量外出，村中缺乏有知识、有技术的致富带头人和领路人，使得这些村在发展集体经济时难以找到合适的发展模式和路径，发展相对滞后，与全旗的平均水平存在较大差距。</w:t>
      </w:r>
    </w:p>
    <w:p w14:paraId="5FD02C5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外，即使在同一乡镇内，不同村之间的发展水平也存在较大差异。一些地理位置优越、资源丰富的村，集体经济发展迅速，收入水平较高；而一些条件较差的村，则发展缓慢，收入水平较低。这种发展不平衡的现象在一定程度上制约了全旗村集体经济的整体发展。</w:t>
      </w:r>
    </w:p>
    <w:p w14:paraId="5B9D8C8F">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（二）村干部思想认识不到位，缺乏发展动力。</w:t>
      </w:r>
      <w:r>
        <w:rPr>
          <w:rFonts w:hint="eastAsia" w:ascii="仿宋_GB2312" w:hAnsi="仿宋_GB2312" w:eastAsia="仿宋_GB2312" w:cs="仿宋_GB2312"/>
          <w:sz w:val="32"/>
          <w:szCs w:val="32"/>
        </w:rPr>
        <w:t>部分村干部对发展村集体经济的重要性和必要性认识不足，存在畏难情绪，缺乏积极性和主动性。有的村干部怕背债务、不敢冒风险；有的村干部缺乏事业心，等、靠、要思想严重。这些思想问题导致村干部在发展集体经济时缺乏创新精神和开拓意识，难以找到适合本村实际的发展路径。还有部分村干部对市场经济了解不够深入，缺乏经营管理知识和技能，难以有效推动村集体经济的发展。他们往往过于依赖传统的发展模式，缺乏对新产业、新业态的认识和了解，导致村集体经济发展缺乏活力和竞争力。</w:t>
      </w:r>
    </w:p>
    <w:p w14:paraId="3BC5D97D">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（三）资金短缺，投入不足。</w:t>
      </w:r>
      <w:r>
        <w:rPr>
          <w:rFonts w:hint="eastAsia" w:ascii="仿宋_GB2312" w:hAnsi="仿宋_GB2312" w:eastAsia="仿宋_GB2312" w:cs="仿宋_GB2312"/>
          <w:sz w:val="32"/>
          <w:szCs w:val="32"/>
        </w:rPr>
        <w:t>资金短缺是当前制约村集体经济发展的一个重要因素。由于部分村集体经济基础薄弱，自身积累有限，难以承担大规模的投资和经营活动。虽然近年来喀喇沁旗在扶持村集体经济方面加大了投入力度，但相对于庞大的需求来说，这些投入仍然显得不足。部分村在争取上级扶持资金时存在困难，难以获得足够的资金支持来推动集体经济的发展。</w:t>
      </w:r>
    </w:p>
    <w:p w14:paraId="2B9B76C6">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（四）项目选择不当，收益不明显。</w:t>
      </w:r>
      <w:r>
        <w:rPr>
          <w:rFonts w:hint="eastAsia" w:ascii="仿宋_GB2312" w:hAnsi="仿宋_GB2312" w:eastAsia="仿宋_GB2312" w:cs="仿宋_GB2312"/>
          <w:sz w:val="32"/>
          <w:szCs w:val="32"/>
        </w:rPr>
        <w:t>在项目选择上，部分村存在盲目跟风、缺乏市场调研和科学论证的问题。他们往往看到其他村发展某个项目取得了成功，就盲目跟风发展相同的项目，而没有考虑到本村的实际情况和市场需求。这种盲目发展的行为导致项目缺乏特色和竞争力，难以取得良好的经济效益。同时，部分村在发展集体经济时缺乏长远规划和战略眼光，过于注重短期利益而忽视了可持续发展。</w:t>
      </w:r>
    </w:p>
    <w:p w14:paraId="5BB45A3D">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（五）管理机制不健全，监督不到位。</w:t>
      </w:r>
      <w:r>
        <w:rPr>
          <w:rFonts w:hint="eastAsia" w:ascii="仿宋_GB2312" w:hAnsi="仿宋_GB2312" w:eastAsia="仿宋_GB2312" w:cs="仿宋_GB2312"/>
          <w:sz w:val="32"/>
          <w:szCs w:val="32"/>
        </w:rPr>
        <w:t>在管理机制方面，部分村缺乏有效的财务管理制度和监督机制来规范集体经济的运作和管理，存在制度不健全、监督不到位的问题。这导致集体资金在使用过程中容易出现浪费、挪用和贪污等问题。同时，由于缺乏有效的监督和考核机制来评估村干部在发展集体经济中的表现和贡献，导致村干部缺乏责任感和紧迫感。</w:t>
      </w:r>
    </w:p>
    <w:p w14:paraId="36EF7CEB">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三、推动全旗农村集体经济高质量发展的建议</w:t>
      </w:r>
    </w:p>
    <w:p w14:paraId="18F61DA1">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（一）强化组织引领，提升发展动能。</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强化基层组织建设，选优配强村“两委”班子，特别是村党组织书记，确保他们既有发展集体经济的强烈愿望，又具备带领群众共同致富的能力。同时通过技能培训、外出考察学习等方式，提升村干部的综合素质和经营管理能力。</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明确发展目标，结合各村实际情况，制定切实可行的村集体经济发展规划，明确发展目标、路径和措施。鼓励各村探索“一村一品”“一业一特”的发展模式，形成特色鲜明、竞争力强的集体经济产业。</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建立激励机制，将村集体经济发展纳入村干部考核体系，对发展成效显著的村给予表彰奖励，对表现不佳的村进行通报批评或调整村干部。积极探索建立村集体经济发展与村干部薪酬挂钩的机制，激发村干部的工作积极性和创造力。</w:t>
      </w:r>
    </w:p>
    <w:p w14:paraId="59CD96EE">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（二）优化资源配置，强化资金保障。</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整合各类资源，充分利用国家、自治区和市级的扶持政策，整合农业、林业、水利、交通、扶贫等部门的项目资金，优先支持村集体经济发展。同时，鼓励社会资本通过投资入股、合作开发等方式参与村集体经济建设。</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创新融资方式，推动农村金融创新，引导金融机构加大对村集体经济的信贷支持力度。探索设立村集体经济发展基金，通过政府引导、社会参与的方式筹集资金，支持村集体经济发展。</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加强财务管理，建立健全村集体财务管理制度，规范集体资金的筹集、使用和管理，强化财务公开和民主监督，确保集体资金的安全和有效使用。</w:t>
      </w:r>
    </w:p>
    <w:p w14:paraId="0B7E4DC0">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（三）科学规划项目，提升发展质量。</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深入市场调研，在发展集体经济项目前，组织镇村两级干部进行市场调研，了解市场需求、竞争态势和消费者偏好，确保项目具有市场前景和盈利能力。</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突出特色优势，依托喀喇沁旗的自然资源、人文资源和产业基础，发展具有地方特色的农业产业、乡村旅游、手工艺品等，打造品牌效应，提升产品附加值。</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注重可持续发展，深入贯彻落实习近平生态文明思想，在发展集体经济时，注重生态保护和环境治理，避免过度开发和资源浪费。同时，进一步强化科技支撑和人才培养，提升集体经济的科技含量和创新能力。</w:t>
      </w:r>
    </w:p>
    <w:p w14:paraId="5BB88E28">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（四）完善管理机制，加强监督考核。</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建立健全管理机制，制定完善村集体经济发展的相关政策和管理制度，明确旗、乡、村三级责任分工，推动形成上下联动、一贯到底的工作机制。</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加强监督考核，建立村集体经济发展的监督考核机制，定期对农村集体经济发展情况进行分析评估，及时发现问题并采取措施加以解决。同时，将监督考核结果作为村干部任免和奖惩的重要依据。</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推广成功经验，及时总结和推广村集体经济发展的成功经验和典型案例，通过示范引领和辐射带动，推动全旗村集体经济的整体提升。</w:t>
      </w:r>
    </w:p>
    <w:p w14:paraId="1FC1BC52">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（五）加强宣传引导，营造良好氛围。</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加大宣传力度，通过电视、网络、新媒体平台等渠道广泛宣传村集体经济发展的重要意义、政策措施和成功案例，提高广大干部群众的认识和参与度。</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开展培训交流，定期组织村干部、农村致富带头人和农业技术人员参加培训交流活动，学习先进经验和做法，提升其综合素质和经营管理能力。</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鼓励社会参与，积极引导和鼓励社会各界关注和支持村集体经济发展，形成全社会共同关心、支持和参与村集体经济发展的良好氛围。</w:t>
      </w:r>
    </w:p>
    <w:p w14:paraId="04BD0C79">
      <w:pPr>
        <w:spacing w:line="580" w:lineRule="exact"/>
        <w:ind w:firstLine="640" w:firstLineChars="200"/>
        <w:rPr>
          <w:rFonts w:ascii="仿宋_GB2312" w:hAnsi="仿宋_GB2312" w:eastAsia="仿宋_GB2312" w:cs="仿宋_GB2312"/>
          <w:sz w:val="32"/>
          <w:szCs w:val="32"/>
        </w:rPr>
      </w:pPr>
    </w:p>
    <w:p w14:paraId="1044A36E">
      <w:pPr>
        <w:rPr>
          <w:rFonts w:ascii="楷体_GB2312" w:hAnsi="楷体" w:eastAsia="楷体_GB2312" w:cs="仿宋"/>
          <w:sz w:val="32"/>
          <w:szCs w:val="32"/>
        </w:rPr>
      </w:pPr>
    </w:p>
    <w:p w14:paraId="509CF12B">
      <w:pPr>
        <w:rPr>
          <w:rFonts w:ascii="楷体_GB2312" w:hAnsi="楷体" w:eastAsia="楷体_GB2312" w:cs="仿宋"/>
          <w:sz w:val="32"/>
          <w:szCs w:val="32"/>
        </w:rPr>
      </w:pPr>
    </w:p>
    <w:p w14:paraId="21EC5A51">
      <w:pPr>
        <w:rPr>
          <w:rFonts w:ascii="楷体_GB2312" w:hAnsi="楷体" w:eastAsia="楷体_GB2312" w:cs="仿宋"/>
          <w:sz w:val="32"/>
          <w:szCs w:val="32"/>
        </w:rPr>
      </w:pPr>
    </w:p>
    <w:p w14:paraId="65E9A8F4">
      <w:pPr>
        <w:rPr>
          <w:rFonts w:ascii="楷体_GB2312" w:hAnsi="楷体" w:eastAsia="楷体_GB2312" w:cs="仿宋"/>
          <w:sz w:val="32"/>
          <w:szCs w:val="32"/>
        </w:rPr>
      </w:pPr>
    </w:p>
    <w:p w14:paraId="1A2F1DDB">
      <w:pPr>
        <w:rPr>
          <w:rFonts w:ascii="楷体_GB2312" w:hAnsi="楷体" w:eastAsia="楷体_GB2312" w:cs="仿宋"/>
          <w:sz w:val="32"/>
          <w:szCs w:val="32"/>
        </w:rPr>
      </w:pPr>
    </w:p>
    <w:p w14:paraId="180C207C">
      <w:pPr>
        <w:rPr>
          <w:rFonts w:ascii="楷体_GB2312" w:hAnsi="楷体" w:eastAsia="楷体_GB2312" w:cs="仿宋"/>
          <w:sz w:val="32"/>
          <w:szCs w:val="32"/>
        </w:rPr>
      </w:pPr>
    </w:p>
    <w:p w14:paraId="1F013335">
      <w:pPr>
        <w:rPr>
          <w:rFonts w:ascii="楷体_GB2312" w:hAnsi="楷体" w:eastAsia="楷体_GB2312" w:cs="仿宋"/>
          <w:sz w:val="32"/>
          <w:szCs w:val="32"/>
        </w:rPr>
      </w:pPr>
    </w:p>
    <w:p w14:paraId="610EAB86">
      <w:pPr>
        <w:rPr>
          <w:rFonts w:ascii="楷体_GB2312" w:hAnsi="楷体" w:eastAsia="楷体_GB2312" w:cs="仿宋"/>
          <w:sz w:val="32"/>
          <w:szCs w:val="32"/>
        </w:rPr>
      </w:pPr>
    </w:p>
    <w:p w14:paraId="7CC0C180">
      <w:pPr>
        <w:rPr>
          <w:rFonts w:ascii="楷体_GB2312" w:hAnsi="楷体" w:eastAsia="楷体_GB2312" w:cs="仿宋"/>
          <w:sz w:val="32"/>
          <w:szCs w:val="32"/>
        </w:rPr>
      </w:pPr>
    </w:p>
    <w:p w14:paraId="01F2CA43">
      <w:pPr>
        <w:rPr>
          <w:rFonts w:ascii="楷体_GB2312" w:hAnsi="楷体" w:eastAsia="楷体_GB2312" w:cs="仿宋"/>
          <w:sz w:val="32"/>
          <w:szCs w:val="32"/>
        </w:rPr>
      </w:pPr>
    </w:p>
    <w:p w14:paraId="17EEB6BE">
      <w:pPr>
        <w:rPr>
          <w:rFonts w:ascii="楷体_GB2312" w:hAnsi="楷体" w:eastAsia="楷体_GB2312" w:cs="仿宋"/>
          <w:sz w:val="32"/>
          <w:szCs w:val="32"/>
        </w:rPr>
      </w:pPr>
    </w:p>
    <w:p w14:paraId="55623FD6">
      <w:pPr>
        <w:rPr>
          <w:rFonts w:ascii="楷体_GB2312" w:hAnsi="楷体" w:eastAsia="楷体_GB2312" w:cs="仿宋"/>
          <w:sz w:val="32"/>
          <w:szCs w:val="32"/>
        </w:rPr>
      </w:pPr>
      <w:r>
        <w:rPr>
          <w:rFonts w:hint="eastAsia" w:ascii="楷体_GB2312" w:hAnsi="楷体" w:eastAsia="楷体_GB2312" w:cs="仿宋"/>
          <w:sz w:val="32"/>
          <w:szCs w:val="32"/>
        </w:rPr>
        <w:t>提案编号：023</w:t>
      </w:r>
    </w:p>
    <w:p w14:paraId="5F2C0F8C">
      <w:pPr>
        <w:rPr>
          <w:rFonts w:ascii="楷体_GB2312" w:hAnsi="楷体" w:eastAsia="楷体_GB2312" w:cs="楷体"/>
          <w:sz w:val="32"/>
          <w:szCs w:val="32"/>
        </w:rPr>
      </w:pPr>
      <w:r>
        <w:rPr>
          <w:rFonts w:hint="eastAsia" w:ascii="楷体_GB2312" w:hAnsi="楷体" w:eastAsia="楷体_GB2312" w:cs="仿宋"/>
          <w:sz w:val="32"/>
          <w:szCs w:val="32"/>
        </w:rPr>
        <w:t>提案名称：关于再谈加强</w:t>
      </w:r>
      <w:r>
        <w:rPr>
          <w:rFonts w:hint="eastAsia" w:ascii="楷体_GB2312" w:hAnsi="楷体" w:eastAsia="楷体_GB2312" w:cs="楷体"/>
          <w:bCs/>
          <w:color w:val="000000"/>
          <w:kern w:val="0"/>
          <w:sz w:val="32"/>
          <w:szCs w:val="32"/>
        </w:rPr>
        <w:t>砂石行业健康发展</w:t>
      </w:r>
      <w:r>
        <w:rPr>
          <w:rFonts w:hint="eastAsia" w:ascii="楷体_GB2312" w:hAnsi="楷体" w:eastAsia="楷体_GB2312" w:cs="楷体"/>
          <w:sz w:val="32"/>
          <w:szCs w:val="32"/>
        </w:rPr>
        <w:t>的提案</w:t>
      </w:r>
    </w:p>
    <w:p w14:paraId="32422D1D">
      <w:pPr>
        <w:spacing w:line="560" w:lineRule="exact"/>
        <w:rPr>
          <w:rFonts w:ascii="楷体_GB2312" w:hAnsi="楷体" w:eastAsia="楷体_GB2312" w:cs="仿宋"/>
          <w:sz w:val="32"/>
          <w:szCs w:val="32"/>
        </w:rPr>
      </w:pPr>
      <w:r>
        <w:rPr>
          <w:rFonts w:hint="eastAsia" w:ascii="楷体_GB2312" w:hAnsi="楷体" w:eastAsia="楷体_GB2312" w:cs="仿宋"/>
          <w:sz w:val="32"/>
          <w:szCs w:val="32"/>
        </w:rPr>
        <w:t>提 案 人：孙文化</w:t>
      </w:r>
    </w:p>
    <w:p w14:paraId="2F1B1D39">
      <w:pPr>
        <w:spacing w:line="560" w:lineRule="exact"/>
        <w:rPr>
          <w:rFonts w:ascii="楷体_GB2312" w:hAnsi="楷体" w:eastAsia="楷体_GB2312" w:cs="仿宋"/>
          <w:sz w:val="32"/>
          <w:szCs w:val="32"/>
        </w:rPr>
      </w:pPr>
      <w:r>
        <w:rPr>
          <w:rFonts w:hint="eastAsia" w:ascii="楷体_GB2312" w:hAnsi="楷体" w:eastAsia="楷体_GB2312" w:cs="仿宋"/>
          <w:sz w:val="32"/>
          <w:szCs w:val="32"/>
        </w:rPr>
        <w:t>联系方式：13789661719</w:t>
      </w:r>
    </w:p>
    <w:p w14:paraId="1C75B10A">
      <w:pPr>
        <w:spacing w:line="560" w:lineRule="exact"/>
        <w:rPr>
          <w:rFonts w:ascii="楷体_GB2312" w:hAnsi="楷体" w:eastAsia="楷体_GB2312" w:cs="仿宋"/>
          <w:sz w:val="32"/>
          <w:szCs w:val="32"/>
        </w:rPr>
      </w:pPr>
      <w:r>
        <w:rPr>
          <w:rFonts w:hint="eastAsia" w:ascii="楷体_GB2312" w:hAnsi="楷体" w:eastAsia="楷体_GB2312" w:cs="仿宋"/>
          <w:sz w:val="32"/>
          <w:szCs w:val="32"/>
        </w:rPr>
        <w:t>界    别：工会</w:t>
      </w:r>
    </w:p>
    <w:p w14:paraId="71AFC051">
      <w:pPr>
        <w:spacing w:line="560" w:lineRule="exact"/>
        <w:jc w:val="center"/>
        <w:rPr>
          <w:rFonts w:ascii="楷体_GB2312" w:hAnsi="仿宋" w:eastAsia="楷体_GB2312" w:cs="仿宋"/>
          <w:sz w:val="32"/>
          <w:szCs w:val="32"/>
        </w:rPr>
      </w:pPr>
      <w:r>
        <w:rPr>
          <w:rFonts w:hint="eastAsia" w:ascii="方正小标宋简体" w:hAnsi="仿宋" w:eastAsia="方正小标宋简体"/>
          <w:color w:val="000000" w:themeColor="text1"/>
          <w:sz w:val="44"/>
          <w:szCs w:val="44"/>
          <w14:textFill>
            <w14:solidFill>
              <w14:schemeClr w14:val="tx1"/>
            </w14:solidFill>
          </w14:textFill>
        </w:rPr>
        <w:t>关于再谈加强砂石行业健康发展的提案</w:t>
      </w:r>
    </w:p>
    <w:p w14:paraId="2AA06974">
      <w:pPr>
        <w:pStyle w:val="11"/>
        <w:widowControl/>
        <w:spacing w:beforeAutospacing="0" w:afterAutospacing="0" w:line="560" w:lineRule="exact"/>
        <w:rPr>
          <w:rFonts w:ascii="黑体" w:hAnsi="黑体" w:eastAsia="黑体" w:cs="仿宋"/>
          <w:sz w:val="32"/>
          <w:szCs w:val="28"/>
          <w:shd w:val="clear" w:color="auto" w:fill="FFFFFF"/>
        </w:rPr>
      </w:pPr>
    </w:p>
    <w:p w14:paraId="33CCA496">
      <w:pPr>
        <w:pStyle w:val="11"/>
        <w:widowControl/>
        <w:numPr>
          <w:ilvl w:val="0"/>
          <w:numId w:val="6"/>
        </w:numPr>
        <w:spacing w:beforeAutospacing="0" w:afterAutospacing="0" w:line="560" w:lineRule="exact"/>
        <w:rPr>
          <w:rFonts w:ascii="黑体" w:hAnsi="黑体" w:eastAsia="黑体" w:cs="仿宋"/>
          <w:sz w:val="32"/>
          <w:szCs w:val="28"/>
          <w:shd w:val="clear" w:color="auto" w:fill="FFFFFF"/>
        </w:rPr>
      </w:pPr>
      <w:r>
        <w:rPr>
          <w:rFonts w:hint="eastAsia" w:ascii="黑体" w:hAnsi="黑体" w:eastAsia="黑体" w:cs="仿宋"/>
          <w:sz w:val="32"/>
          <w:szCs w:val="28"/>
          <w:shd w:val="clear" w:color="auto" w:fill="FFFFFF"/>
        </w:rPr>
        <w:t>基本情况</w:t>
      </w:r>
      <w:r>
        <w:rPr>
          <w:rFonts w:ascii="黑体" w:hAnsi="黑体" w:eastAsia="黑体" w:cs="仿宋"/>
          <w:sz w:val="32"/>
          <w:szCs w:val="28"/>
          <w:shd w:val="clear" w:color="auto" w:fill="FFFFFF"/>
        </w:rPr>
        <w:t xml:space="preserve"> </w:t>
      </w:r>
    </w:p>
    <w:p w14:paraId="0169F83C">
      <w:pPr>
        <w:ind w:firstLine="640" w:firstLineChars="200"/>
        <w:rPr>
          <w:rFonts w:ascii="仿宋_GB2312" w:hAnsi="仿宋" w:eastAsia="仿宋_GB2312" w:cs="仿宋"/>
          <w:color w:val="333333"/>
          <w:sz w:val="32"/>
          <w:szCs w:val="32"/>
          <w:shd w:val="clear" w:color="auto" w:fill="FFFFFF"/>
        </w:rPr>
      </w:pPr>
      <w:r>
        <w:rPr>
          <w:rFonts w:hint="eastAsia" w:ascii="仿宋_GB2312" w:hAnsi="仿宋" w:eastAsia="仿宋_GB2312" w:cs="仿宋"/>
          <w:bCs/>
          <w:color w:val="000000"/>
          <w:kern w:val="0"/>
          <w:sz w:val="32"/>
          <w:szCs w:val="32"/>
        </w:rPr>
        <w:t>砂石作为基础建设中需求量最大的原材料，长期以来，都受到不管是基建还是房建等众多行业的关注。回望2023年，我旗非法堆砂场、洗砂场、碎石场和非法采矿点等，相关部门检查、监管不力，砂石场主采用躲猫猫、钻空子等各种方式方法依然存在。严重影响我旗砂石行业健康有序发展。</w:t>
      </w:r>
    </w:p>
    <w:p w14:paraId="46EB9C48">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存在偷税漏税违法行为。非法堆砂场、洗砂场、碎石场和非法采矿点，在开采、生产、销售过程中，其开采数量没有缴纳矿产资源税，生产、销售过程中一般与一些商混站、建筑上直接对接，相互之间为各自利益不出具税票，给国家税收造成损失，非法从中牟利。</w:t>
      </w:r>
    </w:p>
    <w:p w14:paraId="057918F2">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破坏生态环境。任何一家堆砂场、洗砂场、碎石场和采矿点所占有加工、生产、存放场地，少则几十亩，多则上百亩，为暂时追求利润最大化，没有相关环保设施，乱采乱挖，不对其治理，造成大量土地沙化，河床渗漏，地表水污染，给后期治理难度加大，费用增高。</w:t>
      </w:r>
    </w:p>
    <w:p w14:paraId="688EC302">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不符合安全生产条件或存在严重安全隐患。非法堆砂场、洗砂场、碎石场和非法采矿点，为追求利润最大化，没有安装相关生产设施及安全设施，不具备安全生产条件，生产过程中会出现安全事故，造成人员伤害，生产出的砂石质量也打不到相关使用要求。</w:t>
      </w:r>
    </w:p>
    <w:p w14:paraId="390FDCFE">
      <w:pPr>
        <w:pStyle w:val="11"/>
        <w:widowControl/>
        <w:spacing w:beforeAutospacing="0" w:afterAutospacing="0" w:line="560" w:lineRule="exact"/>
        <w:rPr>
          <w:rFonts w:ascii="黑体" w:hAnsi="黑体" w:eastAsia="黑体" w:cs="仿宋"/>
          <w:bCs/>
          <w:color w:val="000000"/>
          <w:sz w:val="32"/>
          <w:szCs w:val="32"/>
        </w:rPr>
      </w:pPr>
      <w:r>
        <w:rPr>
          <w:rFonts w:hint="eastAsia" w:ascii="黑体" w:hAnsi="黑体" w:eastAsia="黑体" w:cs="仿宋"/>
          <w:bCs/>
          <w:color w:val="000000"/>
          <w:sz w:val="32"/>
          <w:szCs w:val="32"/>
        </w:rPr>
        <w:t>二、存在问题</w:t>
      </w:r>
    </w:p>
    <w:p w14:paraId="70242AA6">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1、随着市场砂石价格的提高，许多砂石生产者为谋取利益与相关人员联纵抗法，使执法队伍无从下手；</w:t>
      </w:r>
    </w:p>
    <w:p w14:paraId="326FF5EA">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2、由于市场的需求，周边地区河沙禁采，可代替河沙的机制砂石还不能满足市场供应；</w:t>
      </w:r>
    </w:p>
    <w:p w14:paraId="4C77AE97">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3、缺乏砂石行业市场调控机制，产供不能达到有序进行；</w:t>
      </w:r>
    </w:p>
    <w:p w14:paraId="053B2394">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4、相关部门监督、检查、指导不到位，部门之间相互推诿，主体责任不清晰。</w:t>
      </w:r>
    </w:p>
    <w:p w14:paraId="4BF2769A">
      <w:pPr>
        <w:rPr>
          <w:rFonts w:ascii="仿宋" w:hAnsi="仿宋" w:eastAsia="仿宋" w:cs="仿宋"/>
          <w:b/>
          <w:color w:val="000000"/>
          <w:kern w:val="0"/>
          <w:sz w:val="32"/>
          <w:szCs w:val="32"/>
        </w:rPr>
      </w:pPr>
      <w:r>
        <w:rPr>
          <w:rFonts w:hint="eastAsia" w:ascii="仿宋" w:hAnsi="仿宋" w:eastAsia="仿宋" w:cs="仿宋"/>
          <w:b/>
          <w:color w:val="000000"/>
          <w:kern w:val="0"/>
          <w:sz w:val="32"/>
          <w:szCs w:val="32"/>
        </w:rPr>
        <w:t>三、几点建议</w:t>
      </w:r>
    </w:p>
    <w:p w14:paraId="3636E6D0">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1、根据《中华人民共和国分产资源法》制定砂石行业相关地方性法律法规，对未获得《营业执照》等相关许可，或在未按照《营业执照》许可的场所范围内进行经或在虽获许可但不再具备经营条件的堆砂场、洗砂场、碎石场和采矿点进行经营的进行查处、关停。</w:t>
      </w:r>
    </w:p>
    <w:p w14:paraId="3E0DC40C">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2、堵截非法销售渠道，打击砂石用户非法采购，不能提供砂石合法来源依据、存在偷税漏税违法行为的砂石用户进行查处。</w:t>
      </w:r>
    </w:p>
    <w:p w14:paraId="6CFD1336">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3、对机制砂石大型企业给予相关政策扶持，让大型砂石骨料企业带动当地砂石行业健康发展，按国家砂石行业相关规定，确定砂石矿区间合法辐射半径，杜绝恶意竞争，国家不仅提高税收，砂石质量得到保障，当地砂石供求调控得以解决。</w:t>
      </w:r>
    </w:p>
    <w:p w14:paraId="4105FA7F">
      <w:pPr>
        <w:ind w:firstLine="640" w:firstLineChars="200"/>
        <w:rPr>
          <w:rFonts w:ascii="仿宋_GB2312" w:hAnsi="仿宋" w:eastAsia="仿宋_GB2312" w:cs="仿宋"/>
          <w:bCs/>
          <w:color w:val="000000"/>
          <w:kern w:val="0"/>
          <w:sz w:val="32"/>
          <w:szCs w:val="32"/>
        </w:rPr>
      </w:pPr>
      <w:r>
        <w:rPr>
          <w:rFonts w:hint="eastAsia" w:ascii="仿宋_GB2312" w:hAnsi="仿宋" w:eastAsia="仿宋_GB2312" w:cs="仿宋"/>
          <w:bCs/>
          <w:color w:val="000000"/>
          <w:kern w:val="0"/>
          <w:sz w:val="32"/>
          <w:szCs w:val="32"/>
        </w:rPr>
        <w:t>4、从源头抓起，把砂石小矿私采烂挖工作纳入政府年度目标考核范围。是国土的问题国土去解决，环保出现问题环保去查处，触犯法律的公安部门要介入，各个相关村镇干部依据相关地方性法律法规对所辖区域进行法律宣传，对于行为者要进行批评、教育、引导，情节严重者应追究法律责任。相关村镇干部要纳入年度考核等。</w:t>
      </w:r>
    </w:p>
    <w:p w14:paraId="402FC6EF">
      <w:pPr>
        <w:ind w:firstLine="640" w:firstLineChars="200"/>
        <w:rPr>
          <w:rFonts w:ascii="仿宋" w:hAnsi="仿宋" w:eastAsia="仿宋" w:cs="仿宋"/>
          <w:bCs/>
          <w:color w:val="000000"/>
          <w:kern w:val="0"/>
          <w:sz w:val="32"/>
          <w:szCs w:val="32"/>
        </w:rPr>
      </w:pPr>
    </w:p>
    <w:p w14:paraId="1FD471C3">
      <w:pPr>
        <w:widowControl/>
        <w:spacing w:line="560" w:lineRule="exact"/>
        <w:rPr>
          <w:rFonts w:ascii="仿宋" w:hAnsi="仿宋" w:eastAsia="仿宋" w:cs="Helvetica"/>
          <w:b/>
          <w:bCs/>
          <w:kern w:val="0"/>
          <w:sz w:val="28"/>
          <w:szCs w:val="28"/>
        </w:rPr>
      </w:pPr>
    </w:p>
    <w:p w14:paraId="08889455"/>
    <w:p w14:paraId="6769FFEF">
      <w:pPr>
        <w:spacing w:line="560" w:lineRule="exact"/>
        <w:rPr>
          <w:rFonts w:ascii="楷体_GB2312" w:hAnsi="楷体" w:eastAsia="楷体_GB2312" w:cs="楷体"/>
          <w:sz w:val="32"/>
          <w:szCs w:val="32"/>
        </w:rPr>
      </w:pPr>
    </w:p>
    <w:p w14:paraId="0E87014E">
      <w:pPr>
        <w:spacing w:line="560" w:lineRule="exact"/>
        <w:rPr>
          <w:rFonts w:ascii="楷体_GB2312" w:hAnsi="楷体" w:eastAsia="楷体_GB2312" w:cs="楷体"/>
          <w:sz w:val="32"/>
          <w:szCs w:val="32"/>
        </w:rPr>
      </w:pPr>
    </w:p>
    <w:p w14:paraId="5FBC8731">
      <w:pPr>
        <w:spacing w:line="560" w:lineRule="exact"/>
        <w:rPr>
          <w:rFonts w:ascii="楷体_GB2312" w:hAnsi="楷体" w:eastAsia="楷体_GB2312" w:cs="楷体"/>
          <w:sz w:val="32"/>
          <w:szCs w:val="32"/>
        </w:rPr>
      </w:pPr>
    </w:p>
    <w:p w14:paraId="154E9082">
      <w:pPr>
        <w:spacing w:line="560" w:lineRule="exact"/>
        <w:rPr>
          <w:rFonts w:ascii="楷体_GB2312" w:hAnsi="楷体" w:eastAsia="楷体_GB2312" w:cs="楷体"/>
          <w:sz w:val="32"/>
          <w:szCs w:val="32"/>
        </w:rPr>
      </w:pPr>
    </w:p>
    <w:p w14:paraId="06A71394">
      <w:pPr>
        <w:spacing w:line="560" w:lineRule="exact"/>
        <w:rPr>
          <w:rFonts w:ascii="楷体_GB2312" w:hAnsi="楷体" w:eastAsia="楷体_GB2312" w:cs="楷体"/>
          <w:sz w:val="32"/>
          <w:szCs w:val="32"/>
        </w:rPr>
      </w:pPr>
    </w:p>
    <w:p w14:paraId="15A18E7C">
      <w:pPr>
        <w:spacing w:line="560" w:lineRule="exact"/>
        <w:rPr>
          <w:rFonts w:ascii="楷体_GB2312" w:hAnsi="楷体" w:eastAsia="楷体_GB2312" w:cs="楷体"/>
          <w:sz w:val="32"/>
          <w:szCs w:val="32"/>
        </w:rPr>
      </w:pPr>
    </w:p>
    <w:p w14:paraId="011565D1">
      <w:pPr>
        <w:spacing w:line="560" w:lineRule="exact"/>
        <w:rPr>
          <w:rFonts w:ascii="楷体_GB2312" w:hAnsi="楷体" w:eastAsia="楷体_GB2312" w:cs="楷体"/>
          <w:sz w:val="32"/>
          <w:szCs w:val="32"/>
        </w:rPr>
      </w:pPr>
    </w:p>
    <w:p w14:paraId="04935A09">
      <w:pPr>
        <w:spacing w:line="560" w:lineRule="exact"/>
        <w:rPr>
          <w:rFonts w:ascii="楷体_GB2312" w:hAnsi="楷体" w:eastAsia="楷体_GB2312" w:cs="楷体"/>
          <w:sz w:val="32"/>
          <w:szCs w:val="32"/>
        </w:rPr>
      </w:pPr>
    </w:p>
    <w:p w14:paraId="6E494B5F">
      <w:pPr>
        <w:spacing w:line="560" w:lineRule="exact"/>
        <w:rPr>
          <w:rFonts w:ascii="楷体_GB2312" w:hAnsi="楷体" w:eastAsia="楷体_GB2312" w:cs="楷体"/>
          <w:sz w:val="32"/>
          <w:szCs w:val="32"/>
        </w:rPr>
      </w:pPr>
      <w:r>
        <w:rPr>
          <w:rFonts w:hint="eastAsia" w:ascii="楷体_GB2312" w:hAnsi="楷体" w:eastAsia="楷体_GB2312" w:cs="楷体"/>
          <w:sz w:val="32"/>
          <w:szCs w:val="32"/>
        </w:rPr>
        <w:t>提案编号：024</w:t>
      </w:r>
    </w:p>
    <w:p w14:paraId="6DC7D34E">
      <w:pPr>
        <w:ind w:left="1600" w:hanging="1600" w:hangingChars="500"/>
        <w:rPr>
          <w:rFonts w:ascii="楷体_GB2312" w:hAnsi="楷体" w:eastAsia="楷体_GB2312" w:cs="楷体"/>
          <w:sz w:val="32"/>
          <w:szCs w:val="32"/>
        </w:rPr>
      </w:pPr>
      <w:r>
        <w:rPr>
          <w:rFonts w:hint="eastAsia" w:ascii="楷体_GB2312" w:hAnsi="楷体" w:eastAsia="楷体_GB2312" w:cs="楷体"/>
          <w:sz w:val="32"/>
          <w:szCs w:val="32"/>
        </w:rPr>
        <w:t>提案名称：关于助力肉牛养殖产业提高生存能力摆脱当前困境的提案</w:t>
      </w:r>
    </w:p>
    <w:p w14:paraId="45C3F5BE">
      <w:pPr>
        <w:spacing w:line="560" w:lineRule="exact"/>
        <w:rPr>
          <w:rFonts w:ascii="楷体_GB2312" w:hAnsi="楷体" w:eastAsia="楷体_GB2312" w:cs="楷体"/>
          <w:sz w:val="32"/>
          <w:szCs w:val="32"/>
        </w:rPr>
      </w:pPr>
      <w:r>
        <w:rPr>
          <w:rFonts w:hint="eastAsia" w:ascii="楷体_GB2312" w:hAnsi="楷体" w:eastAsia="楷体_GB2312" w:cs="楷体"/>
          <w:sz w:val="32"/>
          <w:szCs w:val="32"/>
        </w:rPr>
        <w:t>提 案 人：王永兰</w:t>
      </w:r>
    </w:p>
    <w:p w14:paraId="2A54174C">
      <w:pPr>
        <w:spacing w:line="560" w:lineRule="exact"/>
        <w:rPr>
          <w:rFonts w:ascii="楷体_GB2312" w:hAnsi="楷体" w:eastAsia="楷体_GB2312" w:cs="楷体"/>
          <w:sz w:val="32"/>
          <w:szCs w:val="32"/>
        </w:rPr>
      </w:pPr>
      <w:r>
        <w:rPr>
          <w:rFonts w:hint="eastAsia" w:ascii="楷体_GB2312" w:hAnsi="楷体" w:eastAsia="楷体_GB2312" w:cs="楷体"/>
          <w:sz w:val="32"/>
          <w:szCs w:val="32"/>
        </w:rPr>
        <w:t>联系方式：17747623518</w:t>
      </w:r>
    </w:p>
    <w:p w14:paraId="4E99CB77">
      <w:pPr>
        <w:spacing w:line="560" w:lineRule="exact"/>
        <w:rPr>
          <w:rFonts w:ascii="楷体_GB2312" w:hAnsi="楷体" w:eastAsia="楷体_GB2312" w:cs="楷体"/>
          <w:sz w:val="32"/>
          <w:szCs w:val="32"/>
        </w:rPr>
      </w:pPr>
      <w:r>
        <w:rPr>
          <w:rFonts w:hint="eastAsia" w:ascii="楷体_GB2312" w:hAnsi="楷体" w:eastAsia="楷体_GB2312" w:cs="楷体"/>
          <w:sz w:val="32"/>
          <w:szCs w:val="32"/>
        </w:rPr>
        <w:t>界    别：农牧业</w:t>
      </w:r>
    </w:p>
    <w:p w14:paraId="1CEC0533">
      <w:pPr>
        <w:jc w:val="center"/>
        <w:rPr>
          <w:rFonts w:ascii="方正小标宋简体" w:hAnsi="黑体" w:eastAsia="方正小标宋简体" w:cs="黑体"/>
          <w:sz w:val="44"/>
          <w:szCs w:val="44"/>
        </w:rPr>
      </w:pPr>
      <w:r>
        <w:rPr>
          <w:rFonts w:hint="eastAsia" w:ascii="方正小标宋简体" w:hAnsi="黑体" w:eastAsia="方正小标宋简体" w:cs="黑体"/>
          <w:sz w:val="44"/>
          <w:szCs w:val="44"/>
        </w:rPr>
        <w:t>关于助力肉牛养殖产业提高生存能力摆脱当前困境的提案</w:t>
      </w:r>
    </w:p>
    <w:p w14:paraId="46818B1B">
      <w:pPr>
        <w:jc w:val="center"/>
        <w:rPr>
          <w:rFonts w:ascii="黑体" w:hAnsi="黑体" w:eastAsia="黑体" w:cs="黑体"/>
          <w:sz w:val="44"/>
          <w:szCs w:val="44"/>
        </w:rPr>
      </w:pPr>
    </w:p>
    <w:p w14:paraId="13068E50">
      <w:pPr>
        <w:rPr>
          <w:rFonts w:ascii="黑体" w:hAnsi="黑体" w:eastAsia="黑体" w:cs="黑体"/>
          <w:sz w:val="32"/>
          <w:szCs w:val="32"/>
        </w:rPr>
      </w:pPr>
      <w:r>
        <w:rPr>
          <w:rFonts w:hint="eastAsia"/>
        </w:rPr>
        <w:t xml:space="preserve"> </w:t>
      </w:r>
      <w:r>
        <w:rPr>
          <w:rFonts w:hint="eastAsia" w:ascii="黑体" w:hAnsi="黑体" w:eastAsia="黑体" w:cs="黑体"/>
          <w:sz w:val="32"/>
          <w:szCs w:val="32"/>
        </w:rPr>
        <w:t>一、基本情况</w:t>
      </w:r>
    </w:p>
    <w:p w14:paraId="11D15D8B">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肉牛养殖产业作为农业领域的重要组成部分，对保障肉类供应、促进农民增收意义重大。然而当下，肉牛养殖行业深陷多重困境，严重威胁产业生存与可持续发展。受进口牛肉及活牛进口量持续攀升影响，国内牛肉价格持续走低，养殖利润已接近零点。同时，奶牛业正逐步加入到肉牛繁育行业，进一步压低了犊牛价格，繁育养殖户利润空间被极度压缩，甚至出现亏损。加之疫病防控形势严峻，每年春秋两季口蹄疫爆发，不仅严重影响牛只正常生长，还会导致市场恐慌，进一步冲击产业。在此背景下，亟待多方协同施策，提高肉牛养殖产业生存能力。</w:t>
      </w:r>
    </w:p>
    <w:p w14:paraId="6467F206">
      <w:pPr>
        <w:numPr>
          <w:ilvl w:val="0"/>
          <w:numId w:val="7"/>
        </w:numPr>
        <w:spacing w:line="560" w:lineRule="exact"/>
        <w:rPr>
          <w:rFonts w:ascii="黑体" w:hAnsi="黑体" w:eastAsia="黑体" w:cs="黑体"/>
          <w:sz w:val="32"/>
          <w:szCs w:val="32"/>
        </w:rPr>
      </w:pPr>
      <w:r>
        <w:rPr>
          <w:rFonts w:hint="eastAsia" w:ascii="黑体" w:hAnsi="黑体" w:eastAsia="黑体" w:cs="黑体"/>
          <w:sz w:val="32"/>
          <w:szCs w:val="32"/>
        </w:rPr>
        <w:t>问题</w:t>
      </w:r>
    </w:p>
    <w:p w14:paraId="1B0CC181">
      <w:pPr>
        <w:spacing w:line="560" w:lineRule="exact"/>
        <w:ind w:firstLine="640" w:firstLineChars="200"/>
        <w:rPr>
          <w:rFonts w:ascii="仿宋_GB2312" w:hAnsi="仿宋" w:eastAsia="仿宋_GB2312" w:cs="仿宋"/>
          <w:sz w:val="32"/>
          <w:szCs w:val="32"/>
        </w:rPr>
      </w:pPr>
      <w:r>
        <w:rPr>
          <w:rFonts w:hint="eastAsia" w:ascii="楷体_GB2312" w:hAnsi="仿宋" w:eastAsia="楷体_GB2312" w:cs="仿宋"/>
          <w:sz w:val="32"/>
          <w:szCs w:val="32"/>
        </w:rPr>
        <w:t>（一）肉牛价格持续走低。</w:t>
      </w:r>
      <w:r>
        <w:rPr>
          <w:rFonts w:hint="eastAsia" w:ascii="仿宋_GB2312" w:hAnsi="仿宋" w:eastAsia="仿宋_GB2312" w:cs="仿宋"/>
          <w:sz w:val="32"/>
          <w:szCs w:val="32"/>
        </w:rPr>
        <w:t>近年来，受进口量不断走高，国内消费疲软等因素影响，活牛价格一路走低。2023年均价为毛斤12.5左右，2024年毛斤均价11.5左右，按11个月育肥周期计算，平均每头牛亏损在1000-1500元，这让养殖户无法生存。且随着环保要求趋严，养殖场建设环保设施投入增加，人工成本也因劳动力短缺不断上涨，进一步加剧养殖成本压力。</w:t>
      </w:r>
    </w:p>
    <w:p w14:paraId="042504E0">
      <w:pPr>
        <w:spacing w:line="560" w:lineRule="exact"/>
        <w:ind w:firstLine="640" w:firstLineChars="200"/>
        <w:rPr>
          <w:rFonts w:ascii="仿宋" w:hAnsi="仿宋" w:eastAsia="仿宋" w:cs="仿宋"/>
          <w:sz w:val="32"/>
          <w:szCs w:val="32"/>
        </w:rPr>
      </w:pPr>
      <w:r>
        <w:rPr>
          <w:rFonts w:hint="eastAsia" w:ascii="楷体_GB2312" w:hAnsi="仿宋" w:eastAsia="楷体_GB2312" w:cs="仿宋"/>
          <w:sz w:val="32"/>
          <w:szCs w:val="32"/>
        </w:rPr>
        <w:t>（二）肉牛养殖抗风险能力弱。</w:t>
      </w:r>
      <w:r>
        <w:rPr>
          <w:rFonts w:hint="eastAsia" w:ascii="仿宋_GB2312" w:hAnsi="仿宋" w:eastAsia="仿宋_GB2312" w:cs="仿宋"/>
          <w:sz w:val="32"/>
          <w:szCs w:val="32"/>
        </w:rPr>
        <w:t>肉牛养殖周期长，从犊牛育肥到出栏通常需11个月，养殖户难以根据市场短期价格波动灵活调整养殖规模。市场上肉牛存栏量受2020年养殖红利影响，一度大幅增加，大部分地区养殖存栏量呈倍数增长，绝大部分农户都利用社会资本迅速扩群。然而从2021年到现在，肉牛出栏价格便迅速下跌。由最高点18.5降至现在11.5，许多养殖户来不及抽身，已血本无归，甚至出现大面积断供和少数走极端现像。</w:t>
      </w:r>
    </w:p>
    <w:p w14:paraId="7C5E0D30">
      <w:pPr>
        <w:spacing w:line="560" w:lineRule="exact"/>
        <w:ind w:firstLine="640" w:firstLineChars="200"/>
        <w:rPr>
          <w:rFonts w:ascii="仿宋_GB2312" w:hAnsi="仿宋" w:eastAsia="仿宋_GB2312" w:cs="仿宋"/>
          <w:sz w:val="32"/>
          <w:szCs w:val="32"/>
        </w:rPr>
      </w:pPr>
      <w:r>
        <w:rPr>
          <w:rFonts w:hint="eastAsia" w:ascii="楷体_GB2312" w:hAnsi="仿宋" w:eastAsia="楷体_GB2312" w:cs="仿宋"/>
          <w:sz w:val="32"/>
          <w:szCs w:val="32"/>
        </w:rPr>
        <w:t>（三）疫病防控难。</w:t>
      </w:r>
      <w:r>
        <w:rPr>
          <w:rFonts w:hint="eastAsia" w:ascii="仿宋_GB2312" w:hAnsi="仿宋" w:eastAsia="仿宋_GB2312" w:cs="仿宋"/>
          <w:sz w:val="32"/>
          <w:szCs w:val="32"/>
        </w:rPr>
        <w:t>口蹄疫、布鲁氏菌病等重大疫病对肉牛养殖危害巨大。当前，动物疫病传播途径复杂，运输、交易环节监管难度大，部分养殖户前期只注重扩群，但防疫意识淡薄、防疫措施不到位，给疫病传播创造了条件。近几年我旗虽然没有大的疫病爆发，但每年受口蹄疫等疾病影响的养殖户，损失都在几万元以上，不仅牛只面临减重或死亡风险，还会遭受市场封锁，牛肉产品滞销。</w:t>
      </w:r>
    </w:p>
    <w:p w14:paraId="449682B6">
      <w:pPr>
        <w:spacing w:line="560" w:lineRule="exact"/>
        <w:rPr>
          <w:rFonts w:ascii="黑体" w:hAnsi="黑体" w:eastAsia="黑体" w:cs="黑体"/>
          <w:sz w:val="32"/>
          <w:szCs w:val="32"/>
        </w:rPr>
      </w:pPr>
      <w:r>
        <w:rPr>
          <w:rFonts w:hint="eastAsia" w:ascii="黑体" w:hAnsi="黑体" w:eastAsia="黑体" w:cs="黑体"/>
          <w:sz w:val="32"/>
          <w:szCs w:val="32"/>
        </w:rPr>
        <w:t xml:space="preserve">三、建议 </w:t>
      </w:r>
    </w:p>
    <w:p w14:paraId="03903D23">
      <w:pPr>
        <w:spacing w:line="560" w:lineRule="exact"/>
        <w:ind w:firstLine="640" w:firstLineChars="200"/>
        <w:rPr>
          <w:rFonts w:ascii="楷体_GB2312" w:hAnsi="仿宋" w:eastAsia="楷体_GB2312" w:cs="仿宋"/>
          <w:sz w:val="32"/>
          <w:szCs w:val="32"/>
        </w:rPr>
      </w:pPr>
      <w:r>
        <w:rPr>
          <w:rFonts w:hint="eastAsia" w:ascii="楷体_GB2312" w:hAnsi="仿宋" w:eastAsia="楷体_GB2312" w:cs="仿宋"/>
          <w:sz w:val="32"/>
          <w:szCs w:val="32"/>
        </w:rPr>
        <w:t>（一）</w:t>
      </w:r>
      <w:r>
        <w:rPr>
          <w:rFonts w:hint="eastAsia" w:ascii="宋体" w:hAnsi="宋体" w:eastAsia="宋体" w:cs="宋体"/>
          <w:sz w:val="32"/>
          <w:szCs w:val="32"/>
        </w:rPr>
        <w:t> </w:t>
      </w:r>
      <w:r>
        <w:rPr>
          <w:rFonts w:hint="eastAsia" w:ascii="楷体_GB2312" w:hAnsi="仿宋" w:eastAsia="楷体_GB2312" w:cs="仿宋"/>
          <w:sz w:val="32"/>
          <w:szCs w:val="32"/>
        </w:rPr>
        <w:t>强化政策扶持，缓解当前养殖压力，以实际举措助力养殖产业度过难关：</w:t>
      </w:r>
    </w:p>
    <w:p w14:paraId="73E28DFE">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1.政府加大对肉牛养殖的补贴力度，如设立专项饲料补贴基金，依据养殖规模、饲料采购量给予相应补贴，降低养殖户饲养成本；</w:t>
      </w:r>
    </w:p>
    <w:p w14:paraId="204F784F">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2.对由政府投资建设收取收益金的圈舍，非常时期出台新政策，减免或部分减免收益金，采取分期收取等灵活措施，帮助养殖户先活下去，再谋发展。</w:t>
      </w:r>
    </w:p>
    <w:p w14:paraId="7AA1F23F">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3.对养殖户提供财政贴息贷款，缓解资金压力。同时，由政府协调金融机构开发针对肉牛养殖的低息信贷产品，简化贷款手续，解决养殖户融资难题。</w:t>
      </w:r>
    </w:p>
    <w:p w14:paraId="7E5DD956">
      <w:pPr>
        <w:spacing w:line="560" w:lineRule="exact"/>
        <w:ind w:firstLine="640" w:firstLineChars="200"/>
        <w:rPr>
          <w:rFonts w:ascii="楷体_GB2312" w:hAnsi="仿宋" w:eastAsia="楷体_GB2312" w:cs="仿宋"/>
          <w:sz w:val="32"/>
          <w:szCs w:val="32"/>
        </w:rPr>
      </w:pPr>
      <w:r>
        <w:rPr>
          <w:rFonts w:hint="eastAsia" w:ascii="楷体_GB2312" w:hAnsi="仿宋" w:eastAsia="楷体_GB2312" w:cs="仿宋"/>
          <w:sz w:val="32"/>
          <w:szCs w:val="32"/>
        </w:rPr>
        <w:t>（二）打造区域品牌，提升本地区肉牛产业的附加值，增加养殖收入。</w:t>
      </w:r>
      <w:r>
        <w:rPr>
          <w:rFonts w:hint="eastAsia" w:ascii="宋体" w:hAnsi="宋体" w:eastAsia="宋体" w:cs="宋体"/>
          <w:sz w:val="32"/>
          <w:szCs w:val="32"/>
        </w:rPr>
        <w:t> </w:t>
      </w:r>
    </w:p>
    <w:p w14:paraId="12155A89">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品牌定位与规划：确定喀喇沁旗肉牛的独特卖点，制定品牌战略规划。如强调本地区牛肉的有机、绿色、鲜嫩口感或者特定的药膳肉牛。挖掘本地区肉牛养殖的历史文化，营造本地养殖户的匠心精神，可持续发展理念等，确定喀喇沁旗肉牛品牌。</w:t>
      </w:r>
    </w:p>
    <w:p w14:paraId="4E28765D">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统一品牌质量标准与论证：建立统一的肉牛养殖质量标准体系，涵盖饲料质量、养殖环境、疾病防控、肉牛养殖生长周期等方面，并积极争取相关认证，如有机认证、绿色食品认证、地理标识产品认证等，增强消费者对本地区牛肉产品品牌的信任度，增强产品竞争力。</w:t>
      </w:r>
    </w:p>
    <w:p w14:paraId="3619881D">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三）完善疫病防控体系，筑牢产业安全防线：加大对动物疫病防控的资金投入，加强基层兽医站建设，配备专业技术人员与先进检测设备，提高疫病诊断与防控能力。定期组织养殖户开展疫病防控培训，增强其防疫意识，推广科学防疫技术。严格规范活牛运输、交易市场监管，建立健全动物检疫追溯体系，从源头上防控疫病传播。</w:t>
      </w:r>
    </w:p>
    <w:p w14:paraId="534DFE0D">
      <w:pPr>
        <w:spacing w:line="560" w:lineRule="exact"/>
        <w:rPr>
          <w:rFonts w:ascii="仿宋_GB2312" w:hAnsi="仿宋" w:eastAsia="仿宋_GB2312" w:cs="仿宋"/>
          <w:sz w:val="32"/>
          <w:szCs w:val="32"/>
        </w:rPr>
      </w:pPr>
    </w:p>
    <w:p w14:paraId="6F7EAAE4">
      <w:pPr>
        <w:spacing w:line="560" w:lineRule="exact"/>
        <w:rPr>
          <w:rFonts w:ascii="仿宋_GB2312" w:hAnsi="仿宋" w:eastAsia="仿宋_GB2312" w:cs="仿宋"/>
          <w:sz w:val="32"/>
          <w:szCs w:val="32"/>
        </w:rPr>
      </w:pPr>
    </w:p>
    <w:p w14:paraId="47D2D4E7">
      <w:pPr>
        <w:spacing w:line="560" w:lineRule="exact"/>
        <w:rPr>
          <w:rFonts w:ascii="仿宋_GB2312" w:hAnsi="仿宋" w:eastAsia="仿宋_GB2312" w:cs="仿宋"/>
          <w:sz w:val="32"/>
          <w:szCs w:val="32"/>
        </w:rPr>
      </w:pPr>
    </w:p>
    <w:p w14:paraId="1709E384">
      <w:pPr>
        <w:spacing w:line="560" w:lineRule="exact"/>
        <w:rPr>
          <w:rFonts w:ascii="仿宋_GB2312" w:hAnsi="仿宋" w:eastAsia="仿宋_GB2312" w:cs="仿宋"/>
          <w:sz w:val="32"/>
          <w:szCs w:val="32"/>
        </w:rPr>
      </w:pPr>
    </w:p>
    <w:p w14:paraId="3BBB29BB">
      <w:pPr>
        <w:spacing w:line="560" w:lineRule="exact"/>
        <w:rPr>
          <w:rFonts w:ascii="仿宋_GB2312" w:hAnsi="仿宋" w:eastAsia="仿宋_GB2312" w:cs="仿宋"/>
          <w:sz w:val="32"/>
          <w:szCs w:val="32"/>
        </w:rPr>
      </w:pPr>
    </w:p>
    <w:p w14:paraId="213AA677">
      <w:pPr>
        <w:spacing w:line="560" w:lineRule="exact"/>
        <w:rPr>
          <w:rFonts w:ascii="仿宋_GB2312" w:hAnsi="仿宋" w:eastAsia="仿宋_GB2312" w:cs="仿宋"/>
          <w:sz w:val="32"/>
          <w:szCs w:val="32"/>
        </w:rPr>
      </w:pPr>
    </w:p>
    <w:p w14:paraId="65C82F4A">
      <w:pPr>
        <w:spacing w:line="560" w:lineRule="exact"/>
        <w:rPr>
          <w:rFonts w:ascii="仿宋_GB2312" w:hAnsi="仿宋" w:eastAsia="仿宋_GB2312" w:cs="仿宋"/>
          <w:sz w:val="32"/>
          <w:szCs w:val="32"/>
        </w:rPr>
      </w:pPr>
    </w:p>
    <w:p w14:paraId="3BE0F111">
      <w:pPr>
        <w:spacing w:line="560" w:lineRule="exact"/>
        <w:rPr>
          <w:rFonts w:ascii="仿宋_GB2312" w:hAnsi="仿宋" w:eastAsia="仿宋_GB2312" w:cs="仿宋"/>
          <w:sz w:val="32"/>
          <w:szCs w:val="32"/>
        </w:rPr>
      </w:pPr>
    </w:p>
    <w:p w14:paraId="08931AB5">
      <w:pPr>
        <w:spacing w:line="560" w:lineRule="exact"/>
        <w:rPr>
          <w:rFonts w:ascii="仿宋_GB2312" w:hAnsi="仿宋" w:eastAsia="仿宋_GB2312" w:cs="仿宋"/>
          <w:sz w:val="32"/>
          <w:szCs w:val="32"/>
        </w:rPr>
      </w:pPr>
    </w:p>
    <w:p w14:paraId="4257A8D3">
      <w:pPr>
        <w:spacing w:line="560" w:lineRule="exact"/>
        <w:rPr>
          <w:rFonts w:ascii="仿宋_GB2312" w:hAnsi="仿宋" w:eastAsia="仿宋_GB2312" w:cs="仿宋"/>
          <w:sz w:val="32"/>
          <w:szCs w:val="32"/>
        </w:rPr>
      </w:pPr>
    </w:p>
    <w:p w14:paraId="0C2FCF4E">
      <w:pPr>
        <w:spacing w:line="560" w:lineRule="exact"/>
        <w:rPr>
          <w:rFonts w:ascii="仿宋_GB2312" w:hAnsi="仿宋" w:eastAsia="仿宋_GB2312" w:cs="仿宋"/>
          <w:sz w:val="32"/>
          <w:szCs w:val="32"/>
        </w:rPr>
      </w:pPr>
    </w:p>
    <w:p w14:paraId="64B7C1C1">
      <w:pPr>
        <w:spacing w:line="560" w:lineRule="exact"/>
        <w:rPr>
          <w:rFonts w:ascii="仿宋_GB2312" w:hAnsi="仿宋" w:eastAsia="仿宋_GB2312" w:cs="仿宋"/>
          <w:sz w:val="32"/>
          <w:szCs w:val="32"/>
        </w:rPr>
      </w:pPr>
    </w:p>
    <w:p w14:paraId="131ADED5">
      <w:pPr>
        <w:spacing w:line="560" w:lineRule="exact"/>
        <w:rPr>
          <w:rFonts w:ascii="仿宋_GB2312" w:hAnsi="仿宋" w:eastAsia="仿宋_GB2312" w:cs="仿宋"/>
          <w:sz w:val="32"/>
          <w:szCs w:val="32"/>
        </w:rPr>
      </w:pPr>
    </w:p>
    <w:p w14:paraId="4F160A7F">
      <w:pPr>
        <w:spacing w:line="560" w:lineRule="exact"/>
        <w:rPr>
          <w:rFonts w:ascii="仿宋_GB2312" w:hAnsi="仿宋" w:eastAsia="仿宋_GB2312" w:cs="仿宋"/>
          <w:sz w:val="32"/>
          <w:szCs w:val="32"/>
        </w:rPr>
      </w:pPr>
    </w:p>
    <w:p w14:paraId="0520326B">
      <w:pPr>
        <w:spacing w:line="560" w:lineRule="exact"/>
        <w:rPr>
          <w:rFonts w:ascii="仿宋_GB2312" w:hAnsi="仿宋" w:eastAsia="仿宋_GB2312" w:cs="仿宋"/>
          <w:sz w:val="32"/>
          <w:szCs w:val="32"/>
        </w:rPr>
      </w:pPr>
    </w:p>
    <w:p w14:paraId="689E7177">
      <w:pPr>
        <w:spacing w:line="560" w:lineRule="exact"/>
        <w:rPr>
          <w:rFonts w:ascii="仿宋_GB2312" w:hAnsi="仿宋" w:eastAsia="仿宋_GB2312" w:cs="仿宋"/>
          <w:sz w:val="32"/>
          <w:szCs w:val="32"/>
        </w:rPr>
      </w:pPr>
    </w:p>
    <w:p w14:paraId="395894BB">
      <w:pPr>
        <w:spacing w:line="560" w:lineRule="exact"/>
        <w:rPr>
          <w:rFonts w:ascii="仿宋_GB2312" w:hAnsi="仿宋" w:eastAsia="仿宋_GB2312" w:cs="仿宋"/>
          <w:sz w:val="32"/>
          <w:szCs w:val="32"/>
        </w:rPr>
      </w:pPr>
    </w:p>
    <w:p w14:paraId="0C8D121B">
      <w:pPr>
        <w:spacing w:line="560" w:lineRule="exact"/>
        <w:rPr>
          <w:rFonts w:ascii="仿宋_GB2312" w:hAnsi="仿宋" w:eastAsia="仿宋_GB2312" w:cs="仿宋"/>
          <w:sz w:val="32"/>
          <w:szCs w:val="32"/>
        </w:rPr>
      </w:pPr>
    </w:p>
    <w:p w14:paraId="582D3192">
      <w:pPr>
        <w:spacing w:line="560" w:lineRule="exact"/>
        <w:rPr>
          <w:rFonts w:ascii="仿宋_GB2312" w:hAnsi="仿宋" w:eastAsia="仿宋_GB2312" w:cs="仿宋"/>
          <w:sz w:val="32"/>
          <w:szCs w:val="32"/>
        </w:rPr>
      </w:pPr>
    </w:p>
    <w:p w14:paraId="7C591EAA">
      <w:pPr>
        <w:spacing w:line="560" w:lineRule="exact"/>
        <w:rPr>
          <w:rFonts w:ascii="仿宋_GB2312" w:hAnsi="仿宋" w:eastAsia="仿宋_GB2312" w:cs="仿宋"/>
          <w:sz w:val="32"/>
          <w:szCs w:val="32"/>
        </w:rPr>
      </w:pPr>
    </w:p>
    <w:p w14:paraId="71C9EA32">
      <w:pPr>
        <w:spacing w:line="560" w:lineRule="exact"/>
        <w:rPr>
          <w:rFonts w:ascii="仿宋_GB2312" w:hAnsi="仿宋" w:eastAsia="仿宋_GB2312" w:cs="仿宋"/>
          <w:sz w:val="32"/>
          <w:szCs w:val="32"/>
        </w:rPr>
      </w:pPr>
    </w:p>
    <w:p w14:paraId="5D32BABC">
      <w:pPr>
        <w:spacing w:line="570" w:lineRule="exact"/>
        <w:ind w:firstLine="420" w:firstLineChars="200"/>
        <w:rPr>
          <w:rFonts w:ascii="Times New Roman" w:hAnsi="Times New Roman" w:eastAsia="仿宋_GB2312"/>
          <w:sz w:val="32"/>
          <w:szCs w:val="32"/>
          <w:shd w:val="clear" w:color="auto" w:fill="FFFFFF"/>
        </w:rPr>
      </w:pPr>
      <w:r>
        <mc:AlternateContent>
          <mc:Choice Requires="wps">
            <w:drawing>
              <wp:anchor distT="0" distB="0" distL="114300" distR="114300" simplePos="0" relativeHeight="251659264" behindDoc="0" locked="0" layoutInCell="1" allowOverlap="1">
                <wp:simplePos x="0" y="0"/>
                <wp:positionH relativeFrom="column">
                  <wp:posOffset>-378460</wp:posOffset>
                </wp:positionH>
                <wp:positionV relativeFrom="paragraph">
                  <wp:posOffset>8135620</wp:posOffset>
                </wp:positionV>
                <wp:extent cx="1769110" cy="843280"/>
                <wp:effectExtent l="2540" t="1270" r="0" b="317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1769110" cy="84328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9.8pt;margin-top:640.6pt;height:66.4pt;width:139.3pt;z-index:251659264;mso-width-relative:page;mso-height-relative:page;" fillcolor="#FFFFFF" filled="t" stroked="f" coordsize="21600,21600" o:gfxdata="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LvS89kAAAAN&#10;AQAADwAAAAAAAAABACAAAAAiAAAAZHJzL2Rvd25yZXYueG1sUEsBAhQAFAAAAAgAh07iQGdwbhAb&#10;AgAAJgQAAA4AAAAAAAAAAQAgAAAAKAEAAGRycy9lMm9Eb2MueG1sUEsFBgAAAAAGAAYAWQEAALUF&#10;AAAAAA==&#10;">
                <v:fill on="t" focussize="0,0"/>
                <v:stroke on="f"/>
                <v:imagedata o:title=""/>
                <o:lock v:ext="edit" aspectratio="f"/>
              </v:rect>
            </w:pict>
          </mc:Fallback>
        </mc:AlternateContent>
      </w:r>
    </w:p>
    <w:p w14:paraId="1C171FF8"/>
    <w:p w14:paraId="34C60932">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提案编号:025</w:t>
      </w:r>
    </w:p>
    <w:p w14:paraId="484DDA06">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提案名称:</w:t>
      </w:r>
      <w:r>
        <w:rPr>
          <w:rFonts w:hint="eastAsia"/>
          <w:sz w:val="44"/>
          <w:szCs w:val="44"/>
        </w:rPr>
        <w:t xml:space="preserve"> </w:t>
      </w:r>
      <w:r>
        <w:rPr>
          <w:rFonts w:hint="eastAsia" w:ascii="楷体_GB2312" w:eastAsia="楷体_GB2312"/>
          <w:sz w:val="32"/>
          <w:szCs w:val="32"/>
        </w:rPr>
        <w:t>关于恢复庙会活动增加文旅产业业态的提案</w:t>
      </w:r>
    </w:p>
    <w:p w14:paraId="44CD1B06">
      <w:pPr>
        <w:rPr>
          <w:rFonts w:ascii="楷体_GB2312" w:hAnsi="楷体" w:eastAsia="楷体_GB2312" w:cs="仿宋_GB2312"/>
          <w:bCs/>
          <w:color w:val="000000" w:themeColor="text1"/>
          <w:spacing w:val="-17"/>
          <w:sz w:val="32"/>
          <w:szCs w:val="32"/>
          <w14:textFill>
            <w14:solidFill>
              <w14:schemeClr w14:val="tx1"/>
            </w14:solidFill>
          </w14:textFill>
        </w:rPr>
      </w:pPr>
      <w:r>
        <w:rPr>
          <w:rFonts w:hint="eastAsia" w:ascii="楷体_GB2312" w:hAnsi="楷体_GB2312" w:eastAsia="楷体_GB2312" w:cs="楷体_GB2312"/>
          <w:sz w:val="32"/>
          <w:szCs w:val="32"/>
        </w:rPr>
        <w:t>提 案 人:</w:t>
      </w:r>
      <w:r>
        <w:rPr>
          <w:rFonts w:hint="eastAsia" w:ascii="楷体_GB2312" w:hAnsi="楷体" w:eastAsia="楷体_GB2312" w:cs="仿宋_GB2312"/>
          <w:bCs/>
          <w:color w:val="000000" w:themeColor="text1"/>
          <w:spacing w:val="-17"/>
          <w:sz w:val="32"/>
          <w:szCs w:val="32"/>
          <w14:textFill>
            <w14:solidFill>
              <w14:schemeClr w14:val="tx1"/>
            </w14:solidFill>
          </w14:textFill>
        </w:rPr>
        <w:t xml:space="preserve"> 张津悦</w:t>
      </w:r>
    </w:p>
    <w:p w14:paraId="1684BEEE">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w:t>
      </w:r>
      <w:r>
        <w:rPr>
          <w:rFonts w:ascii="楷体_GB2312" w:hAnsi="楷体_GB2312" w:eastAsia="楷体_GB2312" w:cs="楷体_GB2312"/>
          <w:sz w:val="32"/>
          <w:szCs w:val="32"/>
        </w:rPr>
        <w:t>13474969123</w:t>
      </w:r>
    </w:p>
    <w:p w14:paraId="51DE09B8">
      <w:pPr>
        <w:rPr>
          <w:rFonts w:ascii="楷体_GB2312" w:hAnsi="楷体" w:eastAsia="楷体_GB2312" w:cs="仿宋_GB2312"/>
          <w:bCs/>
          <w:color w:val="000000" w:themeColor="text1"/>
          <w:spacing w:val="-17"/>
          <w:sz w:val="32"/>
          <w:szCs w:val="32"/>
          <w14:textFill>
            <w14:solidFill>
              <w14:schemeClr w14:val="tx1"/>
            </w14:solidFill>
          </w14:textFill>
        </w:rPr>
      </w:pPr>
      <w:r>
        <w:rPr>
          <w:rFonts w:hint="eastAsia" w:ascii="楷体_GB2312" w:hAnsi="楷体_GB2312" w:eastAsia="楷体_GB2312" w:cs="楷体_GB2312"/>
          <w:sz w:val="32"/>
          <w:szCs w:val="32"/>
        </w:rPr>
        <w:t>界    别:</w:t>
      </w:r>
      <w:r>
        <w:rPr>
          <w:rFonts w:hint="eastAsia" w:ascii="楷体_GB2312" w:hAnsi="楷体" w:eastAsia="楷体_GB2312" w:cs="仿宋_GB2312"/>
          <w:bCs/>
          <w:color w:val="000000" w:themeColor="text1"/>
          <w:spacing w:val="-17"/>
          <w:sz w:val="32"/>
          <w:szCs w:val="32"/>
          <w14:textFill>
            <w14:solidFill>
              <w14:schemeClr w14:val="tx1"/>
            </w14:solidFill>
          </w14:textFill>
        </w:rPr>
        <w:t xml:space="preserve"> 文化体育和新闻</w:t>
      </w:r>
    </w:p>
    <w:p w14:paraId="5A6EE49B">
      <w:pPr>
        <w:jc w:val="center"/>
        <w:rPr>
          <w:rFonts w:ascii="楷体_GB2312" w:hAnsi="楷体_GB2312" w:eastAsia="楷体_GB2312" w:cs="楷体_GB2312"/>
          <w:sz w:val="32"/>
          <w:szCs w:val="32"/>
        </w:rPr>
      </w:pPr>
      <w:r>
        <w:rPr>
          <w:rFonts w:hint="eastAsia" w:ascii="方正小标宋简体" w:eastAsia="方正小标宋简体"/>
          <w:color w:val="000000" w:themeColor="text1"/>
          <w:sz w:val="44"/>
          <w:szCs w:val="44"/>
          <w14:textFill>
            <w14:solidFill>
              <w14:schemeClr w14:val="tx1"/>
            </w14:solidFill>
          </w14:textFill>
        </w:rPr>
        <w:t>关于恢复庙会活动增加文旅产业业态的提案</w:t>
      </w:r>
    </w:p>
    <w:p w14:paraId="4B8F0205">
      <w:pPr>
        <w:numPr>
          <w:ilvl w:val="0"/>
          <w:numId w:val="8"/>
        </w:numPr>
        <w:spacing w:before="34" w:after="34"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基本情况</w:t>
      </w:r>
    </w:p>
    <w:p w14:paraId="7D641A0D">
      <w:pPr>
        <w:spacing w:line="560" w:lineRule="exact"/>
        <w:jc w:val="left"/>
        <w:rPr>
          <w:rFonts w:ascii="仿宋_GB2312" w:hAnsi="方正仿宋_GB18030" w:eastAsia="仿宋_GB2312" w:cs="方正仿宋_GB18030"/>
          <w:sz w:val="32"/>
          <w:szCs w:val="32"/>
        </w:rPr>
      </w:pPr>
      <w:r>
        <w:rPr>
          <w:rFonts w:hint="eastAsia" w:ascii="仿宋_GB2312" w:hAnsi="方正仿宋_GB18030" w:eastAsia="仿宋_GB2312" w:cs="方正仿宋_GB18030"/>
          <w:sz w:val="32"/>
          <w:szCs w:val="32"/>
        </w:rPr>
        <w:t>庙会，又称“庙市”或“节场”。是中国民间广为流传的一种传统民俗活动，也是中国集市贸易形式之一，其形成和发展与当地的寺庙活动有关，在寺庙的重要节日或规定的日期举行，一般是3-7天。</w:t>
      </w:r>
    </w:p>
    <w:p w14:paraId="65F37218">
      <w:pPr>
        <w:spacing w:line="560" w:lineRule="exact"/>
        <w:jc w:val="left"/>
        <w:rPr>
          <w:rFonts w:ascii="仿宋_GB2312" w:hAnsi="方正仿宋_GB18030" w:eastAsia="仿宋_GB2312" w:cs="方正仿宋_GB18030"/>
          <w:sz w:val="32"/>
          <w:szCs w:val="32"/>
        </w:rPr>
      </w:pPr>
      <w:r>
        <w:rPr>
          <w:rFonts w:hint="eastAsia" w:ascii="仿宋_GB2312" w:hAnsi="方正仿宋_GB18030" w:eastAsia="仿宋_GB2312" w:cs="方正仿宋_GB18030"/>
          <w:sz w:val="32"/>
          <w:szCs w:val="32"/>
        </w:rPr>
        <w:t>我旗的庙会活动兴盛于清中期以后和民国初期，举办的时间分别是：农历新年、元宵节、二月二、四月初八、七月初三、七月十五、十月二十五、腊月二十三等节日。庙会的活动地点大多在锦山地区、王爷府镇、乃林镇、牛营子镇等，参与的寺院有,灵悦寺、龙泉寺、福会寺、康宁寺、灵峰寺等。开展的活动有“祭祀”、“祈福”、灯展、各种民俗表演、戏曲表演、商品买卖等内容，成为集商贸交流、文艺表演和祈福活动于一体的多功能的社会活动，很受百姓们的欢迎和喜爱。</w:t>
      </w:r>
    </w:p>
    <w:p w14:paraId="144BFE89">
      <w:pPr>
        <w:spacing w:line="560" w:lineRule="exact"/>
        <w:jc w:val="left"/>
        <w:rPr>
          <w:rFonts w:ascii="仿宋_GB2312" w:hAnsi="方正仿宋_GB18030" w:eastAsia="仿宋_GB2312" w:cs="方正仿宋_GB18030"/>
          <w:sz w:val="32"/>
          <w:szCs w:val="32"/>
        </w:rPr>
      </w:pPr>
      <w:r>
        <w:rPr>
          <w:rFonts w:hint="eastAsia" w:ascii="仿宋_GB2312" w:hAnsi="方正仿宋_GB18030" w:eastAsia="仿宋_GB2312" w:cs="方正仿宋_GB18030"/>
          <w:sz w:val="32"/>
          <w:szCs w:val="32"/>
        </w:rPr>
        <w:t>近年来，在旗委政府的正确领导下，在旗文旅体局的不懈努力下，向上级争取大量资金对灵悦寺、龙泉寺、福会寺、咸应寺、康宁寺等进行仿古修缮和恢复原貌，使古老的寺院焕发新姿。寺院的各项工作也有序开展，在本地区乃至全国享有较高的知名度和影响力。</w:t>
      </w:r>
    </w:p>
    <w:p w14:paraId="5FA8E314">
      <w:pPr>
        <w:numPr>
          <w:ilvl w:val="0"/>
          <w:numId w:val="8"/>
        </w:numPr>
        <w:spacing w:before="34" w:after="34"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存在问题</w:t>
      </w:r>
    </w:p>
    <w:p w14:paraId="2C177928">
      <w:pPr>
        <w:spacing w:line="560" w:lineRule="exact"/>
        <w:ind w:firstLine="640" w:firstLineChars="200"/>
        <w:jc w:val="left"/>
        <w:rPr>
          <w:rFonts w:ascii="楷体_GB2312" w:hAnsi="方正楷体_GB2312" w:eastAsia="楷体_GB2312" w:cs="方正楷体_GB2312"/>
          <w:sz w:val="32"/>
          <w:szCs w:val="32"/>
        </w:rPr>
      </w:pPr>
      <w:r>
        <w:rPr>
          <w:rFonts w:hint="eastAsia" w:ascii="楷体_GB2312" w:hAnsi="方正楷体_GB2312" w:eastAsia="楷体_GB2312" w:cs="方正楷体_GB2312"/>
          <w:sz w:val="32"/>
          <w:szCs w:val="32"/>
        </w:rPr>
        <w:t>（一）</w:t>
      </w:r>
      <w:bookmarkStart w:id="3" w:name="_GoBack"/>
      <w:bookmarkEnd w:id="3"/>
      <w:r>
        <w:rPr>
          <w:rFonts w:hint="eastAsia" w:ascii="楷体_GB2312" w:hAnsi="方正楷体_GB2312" w:eastAsia="楷体_GB2312" w:cs="方正楷体_GB2312"/>
          <w:sz w:val="32"/>
          <w:szCs w:val="32"/>
          <w:lang w:eastAsia="zh-CN"/>
        </w:rPr>
        <w:t>中华人民共和国成立</w:t>
      </w:r>
      <w:r>
        <w:rPr>
          <w:rFonts w:hint="eastAsia" w:ascii="楷体_GB2312" w:hAnsi="方正楷体_GB2312" w:eastAsia="楷体_GB2312" w:cs="方正楷体_GB2312"/>
          <w:sz w:val="32"/>
          <w:szCs w:val="32"/>
        </w:rPr>
        <w:t>以后至今，全旗的庙会活动未曾有序的开展，未规划有效的活动机制。</w:t>
      </w:r>
    </w:p>
    <w:p w14:paraId="3CCE71F4">
      <w:pPr>
        <w:spacing w:line="560" w:lineRule="exact"/>
        <w:ind w:firstLine="640" w:firstLineChars="200"/>
        <w:jc w:val="left"/>
        <w:rPr>
          <w:rFonts w:ascii="楷体_GB2312" w:hAnsi="方正楷体_GB2312" w:eastAsia="楷体_GB2312" w:cs="方正楷体_GB2312"/>
          <w:sz w:val="32"/>
          <w:szCs w:val="32"/>
        </w:rPr>
      </w:pPr>
      <w:r>
        <w:rPr>
          <w:rFonts w:hint="eastAsia" w:ascii="楷体_GB2312" w:hAnsi="方正楷体_GB2312" w:eastAsia="楷体_GB2312" w:cs="方正楷体_GB2312"/>
          <w:sz w:val="32"/>
          <w:szCs w:val="32"/>
        </w:rPr>
        <w:t>（二）以寺院为主的优势资源，未能得到有效利用，未发挥其较大的社会作用和经济价值。</w:t>
      </w:r>
    </w:p>
    <w:p w14:paraId="62DD47D0">
      <w:pPr>
        <w:numPr>
          <w:ilvl w:val="0"/>
          <w:numId w:val="8"/>
        </w:numPr>
        <w:spacing w:before="34" w:after="34"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建议</w:t>
      </w:r>
    </w:p>
    <w:p w14:paraId="27FF5D1C">
      <w:pPr>
        <w:spacing w:line="560" w:lineRule="exact"/>
        <w:ind w:firstLine="640" w:firstLineChars="200"/>
        <w:jc w:val="left"/>
        <w:rPr>
          <w:rFonts w:ascii="仿宋_GB2312" w:hAnsi="方正楷体_GB2312" w:eastAsia="仿宋_GB2312" w:cs="方正楷体_GB2312"/>
          <w:sz w:val="32"/>
          <w:szCs w:val="32"/>
        </w:rPr>
      </w:pPr>
      <w:r>
        <w:rPr>
          <w:rFonts w:hint="eastAsia" w:ascii="楷体_GB2312" w:hAnsi="方正楷体_GB2312" w:eastAsia="楷体_GB2312" w:cs="方正楷体_GB2312"/>
          <w:sz w:val="32"/>
          <w:szCs w:val="32"/>
        </w:rPr>
        <w:t>（一）、成立以政府相关部门为主的领导组织.</w:t>
      </w:r>
      <w:r>
        <w:rPr>
          <w:rFonts w:hint="eastAsia" w:ascii="仿宋_GB2312" w:hAnsi="方正楷体_GB2312" w:eastAsia="仿宋_GB2312" w:cs="方正楷体_GB2312"/>
          <w:sz w:val="32"/>
          <w:szCs w:val="32"/>
        </w:rPr>
        <w:t>如旗文旅体局、旗宗教局、旗农牧业局、招商局、有关乡镇、旗佛教协会等为主的组织机构，统筹策划全旗各个时间节点的庙会活动方案，把庙会纳入全旗的杏花节、药材节、文化旅游节、番茄节、红叶节、冰雪节之中。使其真正成为农文旅康体相互交融相互发展的崭新局面。</w:t>
      </w:r>
    </w:p>
    <w:p w14:paraId="39F32DDD">
      <w:pPr>
        <w:tabs>
          <w:tab w:val="left" w:pos="348"/>
        </w:tabs>
        <w:spacing w:line="560" w:lineRule="exact"/>
        <w:ind w:firstLine="640" w:firstLineChars="200"/>
        <w:jc w:val="left"/>
        <w:rPr>
          <w:rFonts w:ascii="楷体_GB2312" w:hAnsi="方正楷体_GB2312" w:eastAsia="楷体_GB2312" w:cs="方正楷体_GB2312"/>
          <w:sz w:val="32"/>
          <w:szCs w:val="32"/>
        </w:rPr>
      </w:pPr>
      <w:r>
        <w:rPr>
          <w:rFonts w:hint="eastAsia" w:ascii="楷体_GB2312" w:hAnsi="方正楷体_GB2312" w:eastAsia="楷体_GB2312" w:cs="方正楷体_GB2312"/>
          <w:sz w:val="32"/>
          <w:szCs w:val="32"/>
        </w:rPr>
        <w:t>（二）、恢复原有的庙会业态：</w:t>
      </w:r>
    </w:p>
    <w:p w14:paraId="7D1BF725">
      <w:pPr>
        <w:tabs>
          <w:tab w:val="left" w:pos="348"/>
        </w:tabs>
        <w:spacing w:line="560" w:lineRule="exact"/>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1五月初一“金刚舞”（康宁寺）</w:t>
      </w:r>
    </w:p>
    <w:p w14:paraId="7FA11974">
      <w:pPr>
        <w:spacing w:line="560" w:lineRule="exact"/>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2五月十三“祭唐神(保护植物)”民俗；（福会寺、灵悦寺）</w:t>
      </w:r>
    </w:p>
    <w:p w14:paraId="4743D3C3">
      <w:pPr>
        <w:spacing w:line="560" w:lineRule="exact"/>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3五月十五“查玛舞”、“请天神”民俗；（福会寺、灵悦寺）</w:t>
      </w:r>
    </w:p>
    <w:p w14:paraId="3EF424EE">
      <w:pPr>
        <w:spacing w:line="560" w:lineRule="exact"/>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4每年七月初一，喀喇沁祭敖包民俗；（康宁寺、福会寺、灵悦寺）</w:t>
      </w:r>
    </w:p>
    <w:p w14:paraId="47316BE0">
      <w:pPr>
        <w:spacing w:line="560" w:lineRule="exact"/>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5十月二十五“海灯会”民俗；（康宁寺、福会寺、灵悦寺）</w:t>
      </w:r>
    </w:p>
    <w:p w14:paraId="260D6792">
      <w:pPr>
        <w:spacing w:line="560" w:lineRule="exact"/>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6腊月二十三“祭祀火”民俗；（康宁寺、福会寺、灵悦寺、龙泉寺）</w:t>
      </w:r>
    </w:p>
    <w:p w14:paraId="3FA0133B">
      <w:pPr>
        <w:spacing w:line="560" w:lineRule="exact"/>
        <w:ind w:firstLine="640" w:firstLineChars="200"/>
        <w:jc w:val="left"/>
        <w:rPr>
          <w:rFonts w:ascii="楷体_GB2312" w:hAnsi="方正楷体_GB2312" w:eastAsia="楷体_GB2312" w:cs="方正楷体_GB2312"/>
          <w:sz w:val="32"/>
          <w:szCs w:val="32"/>
        </w:rPr>
      </w:pPr>
      <w:r>
        <w:rPr>
          <w:rFonts w:hint="eastAsia" w:ascii="楷体_GB2312" w:hAnsi="方正楷体_GB2312" w:eastAsia="楷体_GB2312" w:cs="方正楷体_GB2312"/>
          <w:sz w:val="32"/>
          <w:szCs w:val="32"/>
        </w:rPr>
        <w:t>（三）.融入传统文化业态</w:t>
      </w:r>
    </w:p>
    <w:p w14:paraId="5F50EAAF">
      <w:pPr>
        <w:spacing w:line="560" w:lineRule="exact"/>
        <w:ind w:firstLine="640" w:firstLineChars="200"/>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1.如王爷出行、公主下嫁、王府雅乐、满族寸跷、满蒙服饰、高跷、大秧歌、舞龙、舞狮、评剧、二人转、皮影戏、歌舞表演及杂技等内容。</w:t>
      </w:r>
    </w:p>
    <w:p w14:paraId="3633EC0F">
      <w:pPr>
        <w:spacing w:line="560" w:lineRule="exact"/>
        <w:ind w:firstLine="640" w:firstLineChars="200"/>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2.非遗美食：如王府土窑烤肉、满族粘豆包、白家熏鸡、杀猪菜、王府点心、牛营子药茶、烤全羊、烤全猪、小牛群参芪草本鸭、马鞍山红酒、蟠龙白酒等内容。</w:t>
      </w:r>
    </w:p>
    <w:p w14:paraId="022F590F">
      <w:pPr>
        <w:spacing w:line="560" w:lineRule="exact"/>
        <w:ind w:firstLine="640" w:firstLineChars="200"/>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3.喀喇沁山珍：如羊肚菌、吃松茸、山蘑、蕨菜等系列天然食品和各类农副产品等喀喇沁好物上市交易。</w:t>
      </w:r>
    </w:p>
    <w:p w14:paraId="4D9B6665">
      <w:pPr>
        <w:spacing w:line="560" w:lineRule="exact"/>
        <w:ind w:firstLine="640" w:firstLineChars="200"/>
        <w:jc w:val="left"/>
        <w:rPr>
          <w:rFonts w:ascii="仿宋_GB2312" w:hAnsi="方正仿宋_GB18030" w:eastAsia="仿宋_GB2312" w:cs="方正仿宋_GB18030"/>
          <w:bCs/>
          <w:sz w:val="32"/>
          <w:szCs w:val="32"/>
        </w:rPr>
      </w:pPr>
      <w:r>
        <w:rPr>
          <w:rFonts w:hint="eastAsia" w:ascii="仿宋_GB2312" w:hAnsi="方正仿宋_GB18030" w:eastAsia="仿宋_GB2312" w:cs="方正仿宋_GB18030"/>
          <w:bCs/>
          <w:sz w:val="32"/>
          <w:szCs w:val="32"/>
        </w:rPr>
        <w:t>4.引进儿童科技动漫体验区和主题摄影展等新业态。</w:t>
      </w:r>
    </w:p>
    <w:p w14:paraId="4B1C0B05">
      <w:pPr>
        <w:spacing w:line="560" w:lineRule="exact"/>
        <w:ind w:firstLine="640" w:firstLineChars="200"/>
        <w:jc w:val="left"/>
        <w:rPr>
          <w:rFonts w:ascii="楷体_GB2312" w:hAnsi="方正仿宋_GB18030" w:eastAsia="楷体_GB2312" w:cs="方正仿宋_GB18030"/>
          <w:b/>
          <w:bCs/>
          <w:sz w:val="32"/>
          <w:szCs w:val="32"/>
        </w:rPr>
      </w:pPr>
      <w:r>
        <w:rPr>
          <w:rFonts w:hint="eastAsia" w:ascii="楷体_GB2312" w:hAnsi="方正楷体_GB2312" w:eastAsia="楷体_GB2312" w:cs="方正楷体_GB2312"/>
          <w:sz w:val="32"/>
          <w:szCs w:val="32"/>
        </w:rPr>
        <w:t>（四）.到全国庙会办的好的地区学习经验。</w:t>
      </w:r>
    </w:p>
    <w:p w14:paraId="34FC630A">
      <w:pPr>
        <w:spacing w:line="560" w:lineRule="exact"/>
        <w:jc w:val="left"/>
        <w:rPr>
          <w:rFonts w:ascii="仿宋_GB2312" w:hAnsi="方正仿宋_GB18030" w:eastAsia="仿宋_GB2312" w:cs="方正仿宋_GB18030"/>
          <w:sz w:val="32"/>
          <w:szCs w:val="32"/>
        </w:rPr>
      </w:pPr>
      <w:r>
        <w:rPr>
          <w:rFonts w:hint="eastAsia" w:ascii="仿宋_GB2312" w:hAnsi="方正仿宋_GB18030" w:eastAsia="仿宋_GB2312" w:cs="方正仿宋_GB18030"/>
          <w:sz w:val="32"/>
          <w:szCs w:val="32"/>
        </w:rPr>
        <w:t>通过上述业态的开展让庙会真正成为助推文旅产业发展和文旅产业业态不足等问题，更好的助力喀喇沁高质量发展</w:t>
      </w:r>
    </w:p>
    <w:p w14:paraId="04F43248">
      <w:pPr>
        <w:ind w:firstLine="482"/>
        <w:jc w:val="left"/>
        <w:rPr>
          <w:b/>
          <w:bCs/>
        </w:rPr>
      </w:pPr>
    </w:p>
    <w:p w14:paraId="6B1B4E34">
      <w:pPr>
        <w:spacing w:line="560" w:lineRule="exact"/>
        <w:jc w:val="left"/>
        <w:rPr>
          <w:rFonts w:ascii="楷体_GB2312" w:hAnsi="楷体_GB2312" w:eastAsia="楷体_GB2312" w:cs="楷体"/>
          <w:sz w:val="32"/>
          <w:szCs w:val="32"/>
        </w:rPr>
      </w:pPr>
    </w:p>
    <w:p w14:paraId="534A2DF6">
      <w:pPr>
        <w:spacing w:line="560" w:lineRule="exact"/>
        <w:jc w:val="left"/>
        <w:rPr>
          <w:rFonts w:ascii="楷体_GB2312" w:hAnsi="楷体_GB2312" w:eastAsia="楷体_GB2312" w:cs="楷体"/>
          <w:sz w:val="32"/>
          <w:szCs w:val="32"/>
        </w:rPr>
      </w:pPr>
    </w:p>
    <w:p w14:paraId="18240A5D">
      <w:pPr>
        <w:spacing w:line="560" w:lineRule="exact"/>
        <w:jc w:val="left"/>
        <w:rPr>
          <w:rFonts w:ascii="楷体_GB2312" w:hAnsi="楷体_GB2312" w:eastAsia="楷体_GB2312" w:cs="楷体"/>
          <w:sz w:val="32"/>
          <w:szCs w:val="32"/>
        </w:rPr>
      </w:pPr>
    </w:p>
    <w:p w14:paraId="23677F92">
      <w:pPr>
        <w:spacing w:line="560" w:lineRule="exact"/>
        <w:jc w:val="left"/>
        <w:rPr>
          <w:rFonts w:ascii="楷体_GB2312" w:hAnsi="楷体_GB2312" w:eastAsia="楷体_GB2312" w:cs="楷体"/>
          <w:sz w:val="32"/>
          <w:szCs w:val="32"/>
        </w:rPr>
      </w:pPr>
    </w:p>
    <w:p w14:paraId="75C66CF2">
      <w:pPr>
        <w:spacing w:line="560" w:lineRule="exact"/>
        <w:jc w:val="left"/>
        <w:rPr>
          <w:rFonts w:ascii="楷体_GB2312" w:hAnsi="楷体_GB2312" w:eastAsia="楷体_GB2312" w:cs="楷体"/>
          <w:sz w:val="32"/>
          <w:szCs w:val="32"/>
        </w:rPr>
      </w:pPr>
    </w:p>
    <w:p w14:paraId="0C48AAC8">
      <w:pPr>
        <w:spacing w:line="560" w:lineRule="exact"/>
        <w:jc w:val="left"/>
        <w:rPr>
          <w:rFonts w:ascii="楷体_GB2312" w:hAnsi="楷体_GB2312" w:eastAsia="楷体_GB2312" w:cs="楷体"/>
          <w:sz w:val="32"/>
          <w:szCs w:val="32"/>
        </w:rPr>
      </w:pPr>
    </w:p>
    <w:p w14:paraId="167CA436">
      <w:pPr>
        <w:spacing w:line="560" w:lineRule="exact"/>
        <w:jc w:val="left"/>
        <w:rPr>
          <w:rFonts w:ascii="楷体_GB2312" w:hAnsi="楷体_GB2312" w:eastAsia="楷体_GB2312" w:cs="楷体"/>
          <w:sz w:val="32"/>
          <w:szCs w:val="32"/>
        </w:rPr>
      </w:pPr>
    </w:p>
    <w:p w14:paraId="51CD621A">
      <w:pPr>
        <w:spacing w:line="560" w:lineRule="exact"/>
        <w:jc w:val="left"/>
        <w:rPr>
          <w:rFonts w:ascii="楷体_GB2312" w:hAnsi="楷体_GB2312" w:eastAsia="楷体_GB2312" w:cs="楷体"/>
          <w:sz w:val="32"/>
          <w:szCs w:val="32"/>
        </w:rPr>
      </w:pPr>
    </w:p>
    <w:p w14:paraId="6A31DF6D">
      <w:pPr>
        <w:spacing w:line="560" w:lineRule="exact"/>
        <w:jc w:val="left"/>
        <w:rPr>
          <w:rFonts w:ascii="楷体_GB2312" w:hAnsi="楷体_GB2312" w:eastAsia="楷体_GB2312" w:cs="楷体"/>
          <w:sz w:val="32"/>
          <w:szCs w:val="32"/>
        </w:rPr>
      </w:pPr>
    </w:p>
    <w:p w14:paraId="4D2A560E">
      <w:pPr>
        <w:spacing w:line="560" w:lineRule="exact"/>
        <w:jc w:val="left"/>
        <w:rPr>
          <w:rFonts w:ascii="楷体_GB2312" w:hAnsi="楷体_GB2312" w:eastAsia="楷体_GB2312" w:cs="楷体"/>
          <w:sz w:val="32"/>
          <w:szCs w:val="32"/>
        </w:rPr>
      </w:pPr>
    </w:p>
    <w:p w14:paraId="0724A982">
      <w:pPr>
        <w:spacing w:line="560" w:lineRule="exact"/>
        <w:jc w:val="left"/>
        <w:rPr>
          <w:rFonts w:ascii="楷体_GB2312" w:hAnsi="楷体_GB2312" w:eastAsia="楷体_GB2312" w:cs="楷体"/>
          <w:sz w:val="32"/>
          <w:szCs w:val="32"/>
        </w:rPr>
      </w:pPr>
      <w:r>
        <w:rPr>
          <w:rFonts w:hint="eastAsia" w:ascii="楷体_GB2312" w:hAnsi="楷体_GB2312" w:eastAsia="楷体_GB2312" w:cs="楷体"/>
          <w:sz w:val="32"/>
          <w:szCs w:val="32"/>
        </w:rPr>
        <w:t>提案编号：026</w:t>
      </w:r>
    </w:p>
    <w:p w14:paraId="3D97A3CA">
      <w:pPr>
        <w:ind w:left="1600" w:hanging="1600" w:hangingChars="500"/>
        <w:rPr>
          <w:rFonts w:ascii="楷体_GB2312" w:hAnsi="楷体_GB2312" w:eastAsia="楷体_GB2312" w:cs="楷体"/>
          <w:sz w:val="32"/>
          <w:szCs w:val="32"/>
        </w:rPr>
      </w:pPr>
      <w:r>
        <w:rPr>
          <w:rFonts w:hint="eastAsia" w:ascii="楷体_GB2312" w:hAnsi="楷体_GB2312" w:eastAsia="楷体_GB2312" w:cs="楷体"/>
          <w:sz w:val="32"/>
          <w:szCs w:val="32"/>
        </w:rPr>
        <w:t>提案名称：关于</w:t>
      </w:r>
      <w:r>
        <w:rPr>
          <w:rFonts w:hint="eastAsia" w:ascii="楷体_GB2312" w:hAnsi="方正楷体_GB2312" w:eastAsia="楷体_GB2312" w:cs="方正楷体_GB2312"/>
          <w:sz w:val="32"/>
          <w:szCs w:val="32"/>
        </w:rPr>
        <w:t>积极构建科学的、和谐的家庭教育促进体系合理开发家庭教育优质资源</w:t>
      </w:r>
      <w:r>
        <w:rPr>
          <w:rFonts w:hint="eastAsia" w:ascii="楷体_GB2312" w:hAnsi="楷体_GB2312" w:eastAsia="楷体_GB2312" w:cs="楷体"/>
          <w:sz w:val="32"/>
          <w:szCs w:val="32"/>
        </w:rPr>
        <w:t>的提案</w:t>
      </w:r>
    </w:p>
    <w:p w14:paraId="26EBA461">
      <w:pPr>
        <w:spacing w:line="560" w:lineRule="exact"/>
        <w:jc w:val="left"/>
        <w:rPr>
          <w:rFonts w:ascii="楷体_GB2312" w:hAnsi="楷体_GB2312" w:eastAsia="楷体_GB2312" w:cs="楷体"/>
          <w:sz w:val="32"/>
          <w:szCs w:val="32"/>
        </w:rPr>
      </w:pPr>
      <w:r>
        <w:rPr>
          <w:rFonts w:hint="eastAsia" w:ascii="楷体_GB2312" w:hAnsi="楷体_GB2312" w:eastAsia="楷体_GB2312" w:cs="楷体"/>
          <w:sz w:val="32"/>
          <w:szCs w:val="32"/>
        </w:rPr>
        <w:t>提 案 人：陈玉峰</w:t>
      </w:r>
    </w:p>
    <w:p w14:paraId="39C7CB48">
      <w:pPr>
        <w:spacing w:line="560" w:lineRule="exact"/>
        <w:jc w:val="left"/>
        <w:rPr>
          <w:rFonts w:ascii="楷体_GB2312" w:hAnsi="楷体_GB2312" w:eastAsia="楷体_GB2312" w:cs="楷体"/>
          <w:sz w:val="32"/>
          <w:szCs w:val="32"/>
        </w:rPr>
      </w:pPr>
      <w:r>
        <w:rPr>
          <w:rFonts w:hint="eastAsia" w:ascii="楷体_GB2312" w:hAnsi="楷体_GB2312" w:eastAsia="楷体_GB2312" w:cs="楷体"/>
          <w:sz w:val="32"/>
          <w:szCs w:val="32"/>
        </w:rPr>
        <w:t>联系方式：18004760728</w:t>
      </w:r>
    </w:p>
    <w:p w14:paraId="5959EBF2">
      <w:pPr>
        <w:spacing w:line="560" w:lineRule="exact"/>
        <w:jc w:val="left"/>
        <w:rPr>
          <w:rFonts w:ascii="楷体_GB2312" w:hAnsi="楷体_GB2312" w:eastAsia="楷体_GB2312" w:cs="楷体"/>
          <w:sz w:val="32"/>
          <w:szCs w:val="32"/>
        </w:rPr>
      </w:pPr>
      <w:r>
        <w:rPr>
          <w:rFonts w:hint="eastAsia" w:ascii="楷体_GB2312" w:hAnsi="楷体_GB2312" w:eastAsia="楷体_GB2312" w:cs="楷体"/>
          <w:sz w:val="32"/>
          <w:szCs w:val="32"/>
        </w:rPr>
        <w:t>界    别：社会保障和社会福利</w:t>
      </w:r>
    </w:p>
    <w:p w14:paraId="619DE766">
      <w:pPr>
        <w:jc w:val="center"/>
        <w:rPr>
          <w:rFonts w:ascii="方正小标宋简体" w:hAnsi="楷体_GB2312" w:eastAsia="方正小标宋简体" w:cs="楷体"/>
          <w:sz w:val="44"/>
          <w:szCs w:val="44"/>
        </w:rPr>
      </w:pPr>
      <w:r>
        <w:rPr>
          <w:rFonts w:hint="eastAsia" w:ascii="方正小标宋简体" w:hAnsi="方正楷体_GB2312" w:eastAsia="方正小标宋简体" w:cs="方正楷体_GB2312"/>
          <w:sz w:val="44"/>
          <w:szCs w:val="44"/>
        </w:rPr>
        <w:t>关于积极构建科学的、和谐的家庭教育促进体系合理开发家庭教育优质资源</w:t>
      </w:r>
      <w:r>
        <w:rPr>
          <w:rFonts w:hint="eastAsia" w:ascii="方正小标宋简体" w:hAnsi="楷体_GB2312" w:eastAsia="方正小标宋简体" w:cs="楷体"/>
          <w:sz w:val="44"/>
          <w:szCs w:val="44"/>
        </w:rPr>
        <w:t>的提案</w:t>
      </w:r>
    </w:p>
    <w:p w14:paraId="3E99C944">
      <w:pPr>
        <w:rPr>
          <w:rFonts w:ascii="方正仿宋_GB2312" w:hAnsi="方正仿宋_GB2312" w:eastAsia="方正仿宋_GB2312" w:cs="方正仿宋_GB2312"/>
          <w:sz w:val="32"/>
          <w:szCs w:val="32"/>
        </w:rPr>
      </w:pPr>
    </w:p>
    <w:p w14:paraId="57232E02">
      <w:pPr>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随着我旗经济社会健康良好和谐发展，教育事业也得到了稳步发展。以高考升学率为主要指标显示，我旗的教育质量连续多年获得提升。与此同时，我们进一步审视整个基础教育各个学段的现状，那就是我们开展教育工作的着力点，仍然还只是放在了管学校、抓学校教育上，对于学生成长发展的重要领域——家庭教育缺乏必要的引领、指导，几乎是一种放任自流的状态。家庭教育领域里的教育资源亟待整合开发。千万个家庭对子女的学业寄予了深厚的期望，但是过高的、不恰当的期望，不科学的教养方式，一方面给学生带来了巨大的压 力，成为沉重的负担，一方面也令家长头疼不已：现在的孩子怎么这么难教养。</w:t>
      </w:r>
    </w:p>
    <w:p w14:paraId="66705D54">
      <w:pPr>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据有关统计做过的一项关于家庭教育问卷调查显示，家长对子女关注度最高的是学习问题，占73% ；而孩子在进入青春期时，有56%的父母难以和子女有效沟通； 83%的家长不懂子女教育的科学方法 ，没有基本的教育心理常识； 62%的家长认为教育子女非常需要培训、学习和咨询等帮助。</w:t>
      </w:r>
    </w:p>
    <w:p w14:paraId="6907F32C">
      <w:pPr>
        <w:rPr>
          <w:rFonts w:ascii="黑体" w:hAnsi="黑体" w:eastAsia="黑体" w:cs="方正仿宋_GB2312"/>
          <w:sz w:val="32"/>
          <w:szCs w:val="32"/>
        </w:rPr>
      </w:pPr>
      <w:r>
        <w:rPr>
          <w:rFonts w:hint="eastAsia" w:ascii="黑体" w:hAnsi="黑体" w:eastAsia="黑体" w:cs="方正仿宋_GB2312"/>
          <w:sz w:val="32"/>
          <w:szCs w:val="32"/>
        </w:rPr>
        <w:t>一、问题</w:t>
      </w:r>
    </w:p>
    <w:p w14:paraId="506F62DB">
      <w:pPr>
        <w:ind w:firstLine="640" w:firstLineChars="200"/>
        <w:rPr>
          <w:rFonts w:ascii="仿宋_GB2312" w:hAnsi="方正仿宋_GB2312" w:eastAsia="仿宋_GB2312" w:cs="方正仿宋_GB2312"/>
          <w:sz w:val="32"/>
          <w:szCs w:val="32"/>
        </w:rPr>
      </w:pPr>
      <w:r>
        <w:rPr>
          <w:rFonts w:hint="eastAsia" w:ascii="楷体_GB2312" w:hAnsi="宋体" w:eastAsia="楷体_GB2312" w:cs="宋体"/>
          <w:sz w:val="32"/>
          <w:szCs w:val="32"/>
        </w:rPr>
        <w:t>（一）</w:t>
      </w:r>
      <w:r>
        <w:rPr>
          <w:rFonts w:hint="eastAsia" w:ascii="楷体_GB2312" w:hAnsi="方正楷体_GB2312" w:eastAsia="楷体_GB2312" w:cs="方正楷体_GB2312"/>
          <w:sz w:val="32"/>
          <w:szCs w:val="32"/>
        </w:rPr>
        <w:t>家长和学校的矛盾。</w:t>
      </w:r>
      <w:r>
        <w:rPr>
          <w:rFonts w:hint="eastAsia" w:ascii="仿宋_GB2312" w:hAnsi="方正仿宋_GB2312" w:eastAsia="仿宋_GB2312" w:cs="方正仿宋_GB2312"/>
          <w:sz w:val="32"/>
          <w:szCs w:val="32"/>
        </w:rPr>
        <w:t>学校和家庭本应有共同的教育对象和教育目的， 可是因为家庭教育的  科学性严重滞后 ，导致家庭学校矛盾比较突出 ，学校在开展各项丰富多彩的活动时放不开手脚 ，只能以看好孩子，不出事为头等大事，家校之间沟通不畅 ，大部分学校一学期连一次家长会也不开了，家长学校形同虚设。这就制约了学校教育的正常发展。</w:t>
      </w:r>
    </w:p>
    <w:p w14:paraId="176FC867">
      <w:pPr>
        <w:ind w:firstLine="640" w:firstLineChars="200"/>
        <w:rPr>
          <w:rFonts w:ascii="仿宋_GB2312" w:hAnsi="方正仿宋_GB2312" w:eastAsia="仿宋_GB2312" w:cs="方正仿宋_GB2312"/>
          <w:sz w:val="32"/>
          <w:szCs w:val="32"/>
        </w:rPr>
      </w:pPr>
      <w:r>
        <w:rPr>
          <w:rFonts w:hint="eastAsia" w:ascii="楷体_GB2312" w:hAnsi="宋体" w:eastAsia="楷体_GB2312" w:cs="宋体"/>
          <w:sz w:val="32"/>
          <w:szCs w:val="32"/>
        </w:rPr>
        <w:t>（二）</w:t>
      </w:r>
      <w:r>
        <w:rPr>
          <w:rFonts w:hint="eastAsia" w:ascii="楷体_GB2312" w:hAnsi="方正楷体_GB2312" w:eastAsia="楷体_GB2312" w:cs="方正楷体_GB2312"/>
          <w:sz w:val="32"/>
          <w:szCs w:val="32"/>
        </w:rPr>
        <w:t>家长教育形态落后。</w:t>
      </w:r>
      <w:r>
        <w:rPr>
          <w:rFonts w:hint="eastAsia" w:ascii="仿宋_GB2312" w:hAnsi="方正仿宋_GB2312" w:eastAsia="仿宋_GB2312" w:cs="方正仿宋_GB2312"/>
          <w:sz w:val="32"/>
          <w:szCs w:val="32"/>
        </w:rPr>
        <w:t>虽然我们的物质生活水平得到了迅速提高，开始由小康型向富裕型迈进，可是多数家庭的教养子女的方式仍停留在“老一辈人”的教养方式上，比如打骂孩子的几率出 现在 76%以上，侵犯孩子隐私的现象司空见惯。很大程度上讲，家庭教育需要一场革命，似不为过。</w:t>
      </w:r>
    </w:p>
    <w:p w14:paraId="3231F71B">
      <w:pPr>
        <w:ind w:firstLine="640" w:firstLineChars="200"/>
        <w:rPr>
          <w:rFonts w:ascii="仿宋_GB2312" w:hAnsi="方正仿宋_GB2312" w:eastAsia="仿宋_GB2312" w:cs="方正仿宋_GB2312"/>
          <w:sz w:val="32"/>
          <w:szCs w:val="32"/>
        </w:rPr>
      </w:pPr>
      <w:r>
        <w:rPr>
          <w:rFonts w:hint="eastAsia" w:ascii="楷体_GB2312" w:hAnsi="宋体" w:eastAsia="楷体_GB2312" w:cs="宋体"/>
          <w:sz w:val="32"/>
          <w:szCs w:val="32"/>
        </w:rPr>
        <w:t>（三）</w:t>
      </w:r>
      <w:r>
        <w:rPr>
          <w:rFonts w:hint="eastAsia" w:ascii="楷体_GB2312" w:hAnsi="方正楷体_GB2312" w:eastAsia="楷体_GB2312" w:cs="方正楷体_GB2312"/>
          <w:sz w:val="32"/>
          <w:szCs w:val="32"/>
        </w:rPr>
        <w:t>外出务工、两地分居、单亲等带来的留守儿童、单亲儿童、隔代教育等家庭教育问题。</w:t>
      </w:r>
      <w:r>
        <w:rPr>
          <w:rFonts w:hint="eastAsia" w:ascii="仿宋_GB2312" w:hAnsi="方正仿宋_GB2312" w:eastAsia="仿宋_GB2312" w:cs="方正仿宋_GB2312"/>
          <w:sz w:val="32"/>
          <w:szCs w:val="32"/>
        </w:rPr>
        <w:t>特别在农村，随着外出务工人员的日渐增多， 加上两地分居等单亲家庭增多带来的单亲教养、隔代教养情况增多，相应的产生了一系列家庭教育问题。据有关调查显示 ，25%的家庭存在因外出务工等原因导致的家庭教育重要角色缺位的问题。</w:t>
      </w:r>
    </w:p>
    <w:p w14:paraId="42E0396F">
      <w:pPr>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教育问题是关系国运民生的重大问题。提高教育质量不应只用高考升学率这一个杠杆。要切实实施素质教育，提高教育质量的核心竞争力，必须重视家庭教育工作，合理开发家庭教育领域的资源，积极构建科学的家庭教育促进体系。并由此间接的推动社会教育资源环境的良性发展。为建设 和谐喀喇沁、改善民生环境，打造宜居优秀县城奠定坚实的基础。</w:t>
      </w:r>
    </w:p>
    <w:p w14:paraId="145A2A8D">
      <w:pPr>
        <w:rPr>
          <w:rFonts w:ascii="黑体" w:hAnsi="黑体" w:eastAsia="黑体" w:cs="黑体"/>
          <w:sz w:val="32"/>
          <w:szCs w:val="32"/>
        </w:rPr>
      </w:pPr>
      <w:r>
        <w:rPr>
          <w:rFonts w:hint="eastAsia" w:ascii="黑体" w:hAnsi="黑体" w:eastAsia="黑体" w:cs="黑体"/>
          <w:sz w:val="32"/>
          <w:szCs w:val="32"/>
        </w:rPr>
        <w:t>二、建议</w:t>
      </w:r>
    </w:p>
    <w:p w14:paraId="6FCF04AE">
      <w:pPr>
        <w:ind w:firstLine="640" w:firstLineChars="200"/>
        <w:rPr>
          <w:rFonts w:ascii="仿宋_GB2312" w:hAnsi="方正楷体_GB2312" w:eastAsia="仿宋_GB2312" w:cs="方正楷体_GB2312"/>
          <w:sz w:val="32"/>
          <w:szCs w:val="32"/>
        </w:rPr>
      </w:pPr>
      <w:r>
        <w:rPr>
          <w:rFonts w:hint="eastAsia" w:ascii="楷体_GB2312" w:hAnsi="宋体" w:eastAsia="楷体_GB2312" w:cs="宋体"/>
          <w:sz w:val="32"/>
          <w:szCs w:val="32"/>
        </w:rPr>
        <w:t>（一）</w:t>
      </w:r>
      <w:r>
        <w:rPr>
          <w:rFonts w:hint="eastAsia" w:ascii="楷体_GB2312" w:hAnsi="方正楷体_GB2312" w:eastAsia="楷体_GB2312" w:cs="方正楷体_GB2312"/>
          <w:sz w:val="32"/>
          <w:szCs w:val="32"/>
        </w:rPr>
        <w:t>明确政府对家庭教育的领导职责 ，设立专门的、专业的指导机构。</w:t>
      </w:r>
      <w:r>
        <w:rPr>
          <w:rFonts w:hint="eastAsia" w:ascii="仿宋_GB2312" w:hAnsi="方正仿宋_GB2312" w:eastAsia="仿宋_GB2312" w:cs="方正仿宋_GB2312"/>
          <w:sz w:val="32"/>
          <w:szCs w:val="32"/>
        </w:rPr>
        <w:t>按照“小政府、大社会”的构想，教育这个社会的基本职能的三个领域，即学校教育、家庭教育、社会教育都应由政府教育职能部门提供行政服务。也就是说，教育部门除了管好学校教育这摊主业，还应担负起对家庭教育、社会教育的领导、管理、服务职责。建议设立喀喇沁家庭教育指导中心，选配即懂学校教育又擅长家庭教育的教育专业人士负责全旗的家庭教育促进工作，该中心建议附设在旗教育局某职能科室之内。与妇联儿童部联手开展家长素质提高工程。做到家庭教育教育部门有人管，有行家管，管的了，管的好。</w:t>
      </w:r>
    </w:p>
    <w:p w14:paraId="4658CBA7">
      <w:pPr>
        <w:ind w:firstLine="640" w:firstLineChars="200"/>
        <w:rPr>
          <w:rFonts w:ascii="仿宋_GB2312" w:hAnsi="方正楷体_GB2312" w:eastAsia="仿宋_GB2312" w:cs="方正楷体_GB2312"/>
          <w:sz w:val="32"/>
          <w:szCs w:val="32"/>
        </w:rPr>
      </w:pPr>
      <w:r>
        <w:rPr>
          <w:rFonts w:hint="eastAsia" w:ascii="楷体_GB2312" w:hAnsi="宋体" w:eastAsia="楷体_GB2312" w:cs="宋体"/>
          <w:sz w:val="32"/>
          <w:szCs w:val="32"/>
        </w:rPr>
        <w:t>（二）</w:t>
      </w:r>
      <w:r>
        <w:rPr>
          <w:rFonts w:hint="eastAsia" w:ascii="楷体_GB2312" w:hAnsi="方正楷体_GB2312" w:eastAsia="楷体_GB2312" w:cs="方正楷体_GB2312"/>
          <w:sz w:val="32"/>
          <w:szCs w:val="32"/>
        </w:rPr>
        <w:t>建设家长学校。</w:t>
      </w:r>
      <w:r>
        <w:rPr>
          <w:rFonts w:hint="eastAsia" w:ascii="仿宋_GB2312" w:hAnsi="方正仿宋_GB2312" w:eastAsia="仿宋_GB2312" w:cs="方正仿宋_GB2312"/>
          <w:sz w:val="32"/>
          <w:szCs w:val="32"/>
        </w:rPr>
        <w:t>各类学校应重视对家庭教育的专业引领，建设家长学校组织机构，扎扎实实的开展培训咨询活动。每学期保证 8 个课时的父母培训课程 ；每学期保证期中、期末各召开一次家长会；家长会不要开成分数报告会、告状会、训诫会，要通报学校、班级工作，互通信息，交流家庭教育经验，举办家庭教育指导讲座，等等。</w:t>
      </w:r>
    </w:p>
    <w:p w14:paraId="16FA80D3">
      <w:pPr>
        <w:ind w:firstLine="640" w:firstLineChars="200"/>
        <w:rPr>
          <w:rFonts w:ascii="仿宋_GB2312" w:hAnsi="方正楷体_GB2312" w:eastAsia="仿宋_GB2312" w:cs="方正楷体_GB2312"/>
          <w:sz w:val="32"/>
          <w:szCs w:val="32"/>
        </w:rPr>
      </w:pPr>
      <w:r>
        <w:rPr>
          <w:rFonts w:hint="eastAsia" w:ascii="楷体_GB2312" w:hAnsi="宋体" w:eastAsia="楷体_GB2312" w:cs="宋体"/>
          <w:sz w:val="32"/>
          <w:szCs w:val="32"/>
        </w:rPr>
        <w:t>（三）</w:t>
      </w:r>
      <w:r>
        <w:rPr>
          <w:rFonts w:hint="eastAsia" w:ascii="楷体_GB2312" w:hAnsi="方正楷体_GB2312" w:eastAsia="楷体_GB2312" w:cs="方正楷体_GB2312"/>
          <w:sz w:val="32"/>
          <w:szCs w:val="32"/>
        </w:rPr>
        <w:t>对中小学班主任开展班主任如何指导家庭教育的专题培训。</w:t>
      </w:r>
      <w:r>
        <w:rPr>
          <w:rFonts w:hint="eastAsia" w:ascii="仿宋_GB2312" w:hAnsi="方正仿宋_GB2312" w:eastAsia="仿宋_GB2312" w:cs="方正仿宋_GB2312"/>
          <w:sz w:val="32"/>
          <w:szCs w:val="32"/>
        </w:rPr>
        <w:t>班主任是学校与家庭联系的桥梁和纽带。可以由进修学校或者建议成立的家庭教育指导中心开 展此项培训。这是促成家校合力的重要环节。为增强专题培训的长效性，建议为班主任免费配备家庭教育方面的书报杂志及光盘资料等等。在教育干部培训中增设家庭教育培训专题。</w:t>
      </w:r>
    </w:p>
    <w:p w14:paraId="063F89A0">
      <w:pPr>
        <w:ind w:firstLine="640" w:firstLineChars="200"/>
        <w:rPr>
          <w:rFonts w:ascii="仿宋_GB2312" w:hAnsi="方正仿宋_GB2312" w:eastAsia="仿宋_GB2312" w:cs="方正仿宋_GB2312"/>
          <w:sz w:val="32"/>
          <w:szCs w:val="32"/>
        </w:rPr>
      </w:pPr>
      <w:r>
        <w:rPr>
          <w:rFonts w:hint="eastAsia" w:ascii="楷体_GB2312" w:hAnsi="宋体" w:eastAsia="楷体_GB2312" w:cs="宋体"/>
          <w:sz w:val="32"/>
          <w:szCs w:val="32"/>
        </w:rPr>
        <w:t>（四）</w:t>
      </w:r>
      <w:r>
        <w:rPr>
          <w:rFonts w:hint="eastAsia" w:ascii="楷体_GB2312" w:hAnsi="方正楷体_GB2312" w:eastAsia="楷体_GB2312" w:cs="方正楷体_GB2312"/>
          <w:sz w:val="32"/>
          <w:szCs w:val="32"/>
        </w:rPr>
        <w:t>每年度举办表彰好父母、好家长活动，召开家庭教育工作经验交流会，并建议将每年 10 月 10 日定为 “父母亲子活动日”。</w:t>
      </w:r>
      <w:r>
        <w:rPr>
          <w:rFonts w:hint="eastAsia" w:ascii="仿宋_GB2312" w:hAnsi="方正仿宋_GB2312" w:eastAsia="仿宋_GB2312" w:cs="方正仿宋_GB2312"/>
          <w:sz w:val="32"/>
          <w:szCs w:val="32"/>
        </w:rPr>
        <w:t>此期间结合开展前面父母效能培训和教师教育中的沟通效能训练培训两项活动，营造重视家庭教育的氛围，引起全社会关心支持家庭教育工作。</w:t>
      </w:r>
    </w:p>
    <w:p w14:paraId="0F3979C0">
      <w:pPr>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综合以上建议， 从政策支持、机构设立、理论引导、干部培训、社会关注、等方面积极构建科学的、和谐的家庭教育促进体系，合理开发家庭教育优质资源，迅速提高教育核心竞争力，为建设和谐、富裕、文明的新喀喇沁谱写新华章。</w:t>
      </w:r>
    </w:p>
    <w:p w14:paraId="1DFC9DC4">
      <w:pPr>
        <w:rPr>
          <w:rFonts w:ascii="方正仿宋_GB2312" w:hAnsi="方正仿宋_GB2312" w:eastAsia="方正仿宋_GB2312" w:cs="方正仿宋_GB2312"/>
          <w:sz w:val="32"/>
          <w:szCs w:val="32"/>
        </w:rPr>
      </w:pPr>
    </w:p>
    <w:p w14:paraId="1B3EC19D">
      <w:pPr>
        <w:rPr>
          <w:rFonts w:ascii="方正仿宋_GB2312" w:hAnsi="方正仿宋_GB2312" w:eastAsia="方正仿宋_GB2312" w:cs="方正仿宋_GB2312"/>
          <w:sz w:val="32"/>
          <w:szCs w:val="32"/>
        </w:rPr>
      </w:pPr>
    </w:p>
    <w:p w14:paraId="4E28F73D">
      <w:pPr>
        <w:pStyle w:val="11"/>
        <w:spacing w:beforeAutospacing="0" w:afterAutospacing="0"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提案编号：027</w:t>
      </w:r>
    </w:p>
    <w:p w14:paraId="0416E881">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提案名称：关于将篮球、足球等课程纳入小学体育课的提案</w:t>
      </w:r>
    </w:p>
    <w:p w14:paraId="39326CB7">
      <w:pPr>
        <w:spacing w:line="600" w:lineRule="exact"/>
        <w:rPr>
          <w:rFonts w:ascii="楷体_GB2312" w:hAnsi="楷体" w:eastAsia="楷体_GB2312" w:cs="仿宋_GB2312"/>
          <w:bCs/>
          <w:spacing w:val="-30"/>
          <w:sz w:val="32"/>
          <w:szCs w:val="32"/>
        </w:rPr>
      </w:pPr>
      <w:r>
        <w:rPr>
          <w:rFonts w:hint="eastAsia" w:ascii="楷体_GB2312" w:hAnsi="楷体" w:eastAsia="楷体_GB2312" w:cs="仿宋_GB2312"/>
          <w:bCs/>
          <w:spacing w:val="-30"/>
          <w:sz w:val="32"/>
          <w:szCs w:val="32"/>
        </w:rPr>
        <w:t>提  案  人： 姚晓丽</w:t>
      </w:r>
    </w:p>
    <w:p w14:paraId="2FABDA8C">
      <w:pPr>
        <w:spacing w:line="600" w:lineRule="exact"/>
        <w:rPr>
          <w:rFonts w:ascii="楷体_GB2312" w:hAnsi="楷体" w:eastAsia="楷体_GB2312" w:cs="仿宋_GB2312"/>
          <w:sz w:val="32"/>
          <w:szCs w:val="32"/>
        </w:rPr>
      </w:pPr>
      <w:r>
        <w:rPr>
          <w:rFonts w:hint="eastAsia" w:ascii="楷体_GB2312" w:hAnsi="楷体" w:eastAsia="楷体_GB2312" w:cs="仿宋_GB2312"/>
          <w:bCs/>
          <w:spacing w:val="-17"/>
          <w:sz w:val="32"/>
          <w:szCs w:val="32"/>
        </w:rPr>
        <w:t>联系方式</w:t>
      </w:r>
      <w:r>
        <w:rPr>
          <w:rFonts w:hint="eastAsia" w:ascii="楷体_GB2312" w:hAnsi="楷体" w:eastAsia="楷体_GB2312" w:cs="仿宋_GB2312"/>
          <w:sz w:val="32"/>
          <w:szCs w:val="32"/>
        </w:rPr>
        <w:t>：13848967816</w:t>
      </w:r>
    </w:p>
    <w:p w14:paraId="19519D5B">
      <w:pPr>
        <w:spacing w:line="600" w:lineRule="exact"/>
        <w:rPr>
          <w:rFonts w:ascii="楷体_GB2312" w:hAnsi="楷体" w:eastAsia="楷体_GB2312" w:cs="仿宋_GB2312"/>
          <w:sz w:val="32"/>
          <w:szCs w:val="32"/>
        </w:rPr>
      </w:pPr>
      <w:r>
        <w:rPr>
          <w:rFonts w:hint="eastAsia" w:ascii="楷体_GB2312" w:hAnsi="楷体" w:eastAsia="楷体_GB2312" w:cs="仿宋_GB2312"/>
          <w:bCs/>
          <w:spacing w:val="-17"/>
          <w:sz w:val="32"/>
          <w:szCs w:val="32"/>
        </w:rPr>
        <w:t>界     别</w:t>
      </w:r>
      <w:r>
        <w:rPr>
          <w:rFonts w:hint="eastAsia" w:ascii="楷体_GB2312" w:hAnsi="楷体" w:eastAsia="楷体_GB2312" w:cs="仿宋_GB2312"/>
          <w:sz w:val="32"/>
          <w:szCs w:val="32"/>
        </w:rPr>
        <w:t>：工商业联合会</w:t>
      </w:r>
    </w:p>
    <w:p w14:paraId="0A6F62C6">
      <w:pPr>
        <w:spacing w:line="600" w:lineRule="exact"/>
        <w:jc w:val="center"/>
        <w:rPr>
          <w:rFonts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关于将篮球、足球等课程全面纳入小学体育课的建议</w:t>
      </w:r>
    </w:p>
    <w:p w14:paraId="4600C723">
      <w:pPr>
        <w:rPr>
          <w:rFonts w:ascii="仿宋" w:hAnsi="仿宋" w:eastAsia="仿宋" w:cs="仿宋"/>
          <w:sz w:val="32"/>
          <w:szCs w:val="32"/>
        </w:rPr>
      </w:pPr>
    </w:p>
    <w:p w14:paraId="2C7C7B0E">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中考改革后，体育成为中考中语、数、外三大主科以外，占分最大的科目之一，体育运动水平也是孩子素质提升和健康水平的重要标志之一，近几年，我旗小学体育课数量增加，但体育课质量还有待进一步提升。</w:t>
      </w:r>
    </w:p>
    <w:p w14:paraId="2A58527B">
      <w:pPr>
        <w:pStyle w:val="11"/>
        <w:widowControl/>
        <w:shd w:val="clear" w:color="auto" w:fill="FFFFFF"/>
        <w:spacing w:beforeAutospacing="0" w:afterAutospacing="0" w:line="560" w:lineRule="exact"/>
        <w:ind w:firstLine="640" w:firstLineChars="200"/>
        <w:rPr>
          <w:rFonts w:ascii="仿宋" w:hAnsi="仿宋" w:eastAsia="仿宋" w:cs="仿宋"/>
          <w:sz w:val="32"/>
          <w:szCs w:val="32"/>
          <w:shd w:val="clear" w:color="auto" w:fill="FFFFFF"/>
        </w:rPr>
      </w:pPr>
      <w:r>
        <w:rPr>
          <w:rFonts w:hint="eastAsia" w:ascii="黑体" w:hAnsi="黑体" w:eastAsia="黑体" w:cs="黑体"/>
          <w:sz w:val="32"/>
          <w:szCs w:val="32"/>
          <w:shd w:val="clear" w:color="auto" w:fill="FFFFFF"/>
        </w:rPr>
        <w:t>一、存在的问题</w:t>
      </w:r>
    </w:p>
    <w:p w14:paraId="4FBB9670">
      <w:pPr>
        <w:pStyle w:val="11"/>
        <w:widowControl/>
        <w:shd w:val="clear" w:color="auto" w:fill="FFFFFF"/>
        <w:spacing w:beforeAutospacing="0" w:afterAutospacing="0" w:line="560" w:lineRule="exact"/>
        <w:ind w:firstLine="640" w:firstLineChars="200"/>
        <w:rPr>
          <w:rFonts w:ascii="仿宋_GB2312" w:hAnsi="仿宋" w:eastAsia="仿宋_GB2312" w:cstheme="minorBidi"/>
          <w:kern w:val="2"/>
          <w:sz w:val="32"/>
          <w:szCs w:val="32"/>
        </w:rPr>
      </w:pPr>
      <w:r>
        <w:rPr>
          <w:rFonts w:hint="eastAsia" w:ascii="楷体_GB2312" w:hAnsi="仿宋" w:eastAsia="楷体_GB2312" w:cstheme="minorBidi"/>
          <w:kern w:val="2"/>
          <w:sz w:val="32"/>
          <w:szCs w:val="32"/>
        </w:rPr>
        <w:t>1、对体育课重视不够。</w:t>
      </w:r>
      <w:r>
        <w:rPr>
          <w:rFonts w:hint="eastAsia" w:ascii="仿宋_GB2312" w:hAnsi="仿宋" w:eastAsia="仿宋_GB2312" w:cstheme="minorBidi"/>
          <w:kern w:val="2"/>
          <w:sz w:val="32"/>
          <w:szCs w:val="32"/>
        </w:rPr>
        <w:t>存在小学重视不够，中学临时抱佛脚的现象。</w:t>
      </w:r>
    </w:p>
    <w:p w14:paraId="32390F92">
      <w:pPr>
        <w:pStyle w:val="11"/>
        <w:widowControl/>
        <w:shd w:val="clear" w:color="auto" w:fill="FFFFFF"/>
        <w:spacing w:beforeAutospacing="0" w:afterAutospacing="0" w:line="560" w:lineRule="exact"/>
        <w:ind w:firstLine="640" w:firstLineChars="200"/>
        <w:rPr>
          <w:rFonts w:ascii="仿宋_GB2312" w:hAnsi="仿宋" w:eastAsia="仿宋_GB2312" w:cstheme="minorBidi"/>
          <w:kern w:val="2"/>
          <w:sz w:val="32"/>
          <w:szCs w:val="32"/>
        </w:rPr>
      </w:pPr>
      <w:r>
        <w:rPr>
          <w:rFonts w:hint="eastAsia" w:ascii="楷体_GB2312" w:hAnsi="仿宋" w:eastAsia="楷体_GB2312" w:cstheme="minorBidi"/>
          <w:kern w:val="2"/>
          <w:sz w:val="32"/>
          <w:szCs w:val="32"/>
        </w:rPr>
        <w:t>2、体育课内容单一。</w:t>
      </w:r>
      <w:r>
        <w:rPr>
          <w:rFonts w:hint="eastAsia" w:ascii="仿宋_GB2312" w:hAnsi="仿宋" w:eastAsia="仿宋_GB2312" w:cstheme="minorBidi"/>
          <w:kern w:val="2"/>
          <w:sz w:val="32"/>
          <w:szCs w:val="32"/>
        </w:rPr>
        <w:t>小学阶段的体育课基本都是以跑跳等基础课程为主，如果孩子想学篮球、足球等特色课程，基本全部都要到课外辅导班中进行学习，增加家庭负担，同时也只有部分孩子能得到学习。</w:t>
      </w:r>
    </w:p>
    <w:p w14:paraId="398DC285">
      <w:pPr>
        <w:pStyle w:val="11"/>
        <w:widowControl/>
        <w:shd w:val="clear" w:color="auto" w:fill="FFFFFF"/>
        <w:spacing w:beforeAutospacing="0" w:afterAutospacing="0" w:line="560" w:lineRule="exact"/>
        <w:ind w:firstLine="640" w:firstLineChars="200"/>
        <w:rPr>
          <w:rFonts w:ascii="仿宋_GB2312" w:hAnsi="仿宋" w:eastAsia="仿宋_GB2312" w:cstheme="minorBidi"/>
          <w:kern w:val="2"/>
          <w:sz w:val="32"/>
          <w:szCs w:val="32"/>
        </w:rPr>
      </w:pPr>
      <w:r>
        <w:rPr>
          <w:rFonts w:hint="eastAsia" w:ascii="黑体" w:hAnsi="黑体" w:eastAsia="黑体" w:cs="黑体"/>
          <w:sz w:val="32"/>
          <w:szCs w:val="32"/>
          <w:shd w:val="clear" w:color="auto" w:fill="FFFFFF"/>
        </w:rPr>
        <w:t>二、建议</w:t>
      </w:r>
    </w:p>
    <w:p w14:paraId="73D5B521">
      <w:pPr>
        <w:pStyle w:val="11"/>
        <w:widowControl/>
        <w:shd w:val="clear" w:color="auto" w:fill="FFFFFF"/>
        <w:spacing w:beforeAutospacing="0" w:afterAutospacing="0" w:line="560" w:lineRule="exact"/>
        <w:ind w:firstLine="640" w:firstLineChars="200"/>
        <w:rPr>
          <w:rFonts w:ascii="仿宋_GB2312" w:hAnsi="仿宋" w:eastAsia="仿宋_GB2312" w:cstheme="minorBidi"/>
          <w:kern w:val="2"/>
          <w:sz w:val="32"/>
          <w:szCs w:val="32"/>
        </w:rPr>
      </w:pPr>
      <w:r>
        <w:rPr>
          <w:rFonts w:hint="eastAsia" w:ascii="楷体_GB2312" w:hAnsi="楷体" w:eastAsia="楷体_GB2312" w:cs="楷体"/>
          <w:kern w:val="2"/>
          <w:sz w:val="32"/>
          <w:szCs w:val="32"/>
        </w:rPr>
        <w:t>1、进一步重视体育课程质量</w:t>
      </w:r>
      <w:r>
        <w:rPr>
          <w:rFonts w:hint="eastAsia" w:ascii="楷体_GB2312" w:hAnsi="仿宋" w:eastAsia="楷体_GB2312" w:cstheme="minorBidi"/>
          <w:kern w:val="2"/>
          <w:sz w:val="32"/>
          <w:szCs w:val="32"/>
        </w:rPr>
        <w:t>。</w:t>
      </w:r>
      <w:r>
        <w:rPr>
          <w:rFonts w:hint="eastAsia" w:ascii="仿宋_GB2312" w:hAnsi="仿宋" w:eastAsia="仿宋_GB2312" w:cstheme="minorBidi"/>
          <w:kern w:val="2"/>
          <w:sz w:val="32"/>
          <w:szCs w:val="32"/>
        </w:rPr>
        <w:t>建立中小学体育课程内容规划，增加体育教师数量和专业性，将篮球、足球、羽毛球等特色课程纳入小学体育课程教育体系，列为体育必修和达标内容。将项目课程化、专业化、系统化，并纳入教学计划、保证课时比例和课堂教学实效。</w:t>
      </w:r>
    </w:p>
    <w:p w14:paraId="7813DD8E">
      <w:pPr>
        <w:spacing w:line="560" w:lineRule="exact"/>
        <w:ind w:firstLine="640" w:firstLineChars="200"/>
        <w:rPr>
          <w:rFonts w:ascii="仿宋_GB2312" w:hAnsi="楷体" w:eastAsia="仿宋_GB2312" w:cs="楷体"/>
          <w:sz w:val="32"/>
          <w:szCs w:val="32"/>
          <w:shd w:val="clear" w:color="auto" w:fill="FFFFFF"/>
        </w:rPr>
      </w:pPr>
      <w:r>
        <w:rPr>
          <w:rFonts w:hint="eastAsia" w:ascii="楷体_GB2312" w:hAnsi="楷体" w:eastAsia="楷体_GB2312" w:cs="楷体"/>
          <w:sz w:val="32"/>
          <w:szCs w:val="32"/>
          <w:shd w:val="clear" w:color="auto" w:fill="FFFFFF"/>
        </w:rPr>
        <w:t>2、丰富体育课程内容。</w:t>
      </w:r>
      <w:r>
        <w:rPr>
          <w:rFonts w:hint="eastAsia" w:ascii="仿宋_GB2312" w:hAnsi="仿宋" w:eastAsia="仿宋_GB2312" w:cs="仿宋"/>
          <w:kern w:val="0"/>
          <w:sz w:val="32"/>
          <w:szCs w:val="32"/>
          <w:lang w:bidi="ar"/>
        </w:rPr>
        <w:t>建议分</w:t>
      </w:r>
      <w:r>
        <w:rPr>
          <w:rFonts w:hint="eastAsia" w:ascii="仿宋_GB2312" w:hAnsi="仿宋" w:eastAsia="仿宋_GB2312" w:cs="仿宋"/>
          <w:sz w:val="32"/>
          <w:szCs w:val="32"/>
        </w:rPr>
        <w:t>年龄段，在小学阶段全面开设篮球、足球、羽毛球等基础课程，丰富学生体育课内容的同时，提升孩子身体素质，也为中学阶段考试提前打好基础。</w:t>
      </w:r>
    </w:p>
    <w:p w14:paraId="3EBCB205">
      <w:pPr>
        <w:pStyle w:val="11"/>
        <w:widowControl/>
        <w:shd w:val="clear" w:color="auto" w:fill="FFFFFF"/>
        <w:spacing w:beforeAutospacing="0" w:afterAutospacing="0" w:line="560" w:lineRule="exact"/>
        <w:ind w:firstLine="640" w:firstLineChars="200"/>
        <w:rPr>
          <w:rFonts w:ascii="仿宋_GB2312" w:hAnsi="仿宋" w:eastAsia="仿宋_GB2312" w:cstheme="minorBidi"/>
          <w:kern w:val="2"/>
          <w:sz w:val="32"/>
          <w:szCs w:val="32"/>
        </w:rPr>
      </w:pPr>
    </w:p>
    <w:p w14:paraId="794BA865"/>
    <w:p w14:paraId="46326CDD">
      <w:pPr>
        <w:spacing w:line="600" w:lineRule="exact"/>
        <w:rPr>
          <w:rFonts w:ascii="楷体_GB2312" w:hAnsi="楷体_GB2312" w:eastAsia="楷体_GB2312" w:cs="楷体_GB2312"/>
          <w:bCs/>
          <w:spacing w:val="-17"/>
          <w:sz w:val="32"/>
          <w:szCs w:val="32"/>
        </w:rPr>
      </w:pPr>
    </w:p>
    <w:p w14:paraId="01004913">
      <w:pPr>
        <w:spacing w:line="600" w:lineRule="exact"/>
        <w:rPr>
          <w:rFonts w:ascii="楷体_GB2312" w:hAnsi="楷体_GB2312" w:eastAsia="楷体_GB2312" w:cs="楷体_GB2312"/>
          <w:bCs/>
          <w:spacing w:val="-17"/>
          <w:sz w:val="32"/>
          <w:szCs w:val="32"/>
        </w:rPr>
      </w:pPr>
    </w:p>
    <w:p w14:paraId="3C204C9F">
      <w:pPr>
        <w:spacing w:line="600" w:lineRule="exact"/>
        <w:rPr>
          <w:rFonts w:ascii="楷体_GB2312" w:hAnsi="楷体_GB2312" w:eastAsia="楷体_GB2312" w:cs="楷体_GB2312"/>
          <w:bCs/>
          <w:spacing w:val="-17"/>
          <w:sz w:val="32"/>
          <w:szCs w:val="32"/>
        </w:rPr>
      </w:pPr>
    </w:p>
    <w:p w14:paraId="2E4C4755">
      <w:pPr>
        <w:spacing w:line="600" w:lineRule="exact"/>
        <w:rPr>
          <w:rFonts w:ascii="楷体_GB2312" w:hAnsi="楷体_GB2312" w:eastAsia="楷体_GB2312" w:cs="楷体_GB2312"/>
          <w:bCs/>
          <w:spacing w:val="-17"/>
          <w:sz w:val="32"/>
          <w:szCs w:val="32"/>
        </w:rPr>
      </w:pPr>
    </w:p>
    <w:p w14:paraId="30953CA4">
      <w:pPr>
        <w:spacing w:line="600" w:lineRule="exact"/>
        <w:rPr>
          <w:rFonts w:ascii="楷体_GB2312" w:hAnsi="楷体_GB2312" w:eastAsia="楷体_GB2312" w:cs="楷体_GB2312"/>
          <w:bCs/>
          <w:spacing w:val="-17"/>
          <w:sz w:val="32"/>
          <w:szCs w:val="32"/>
        </w:rPr>
      </w:pPr>
    </w:p>
    <w:p w14:paraId="36497DE9">
      <w:pPr>
        <w:spacing w:line="600" w:lineRule="exact"/>
        <w:rPr>
          <w:rFonts w:ascii="楷体_GB2312" w:hAnsi="楷体_GB2312" w:eastAsia="楷体_GB2312" w:cs="楷体_GB2312"/>
          <w:bCs/>
          <w:spacing w:val="-17"/>
          <w:sz w:val="32"/>
          <w:szCs w:val="32"/>
        </w:rPr>
      </w:pPr>
    </w:p>
    <w:p w14:paraId="5A3C6F75">
      <w:pPr>
        <w:spacing w:line="600" w:lineRule="exact"/>
        <w:rPr>
          <w:rFonts w:ascii="楷体_GB2312" w:hAnsi="楷体_GB2312" w:eastAsia="楷体_GB2312" w:cs="楷体_GB2312"/>
          <w:bCs/>
          <w:spacing w:val="-17"/>
          <w:sz w:val="32"/>
          <w:szCs w:val="32"/>
        </w:rPr>
      </w:pPr>
    </w:p>
    <w:p w14:paraId="0ECAE435">
      <w:pPr>
        <w:spacing w:line="600" w:lineRule="exact"/>
        <w:rPr>
          <w:rFonts w:ascii="楷体_GB2312" w:hAnsi="楷体_GB2312" w:eastAsia="楷体_GB2312" w:cs="楷体_GB2312"/>
          <w:bCs/>
          <w:spacing w:val="-17"/>
          <w:sz w:val="32"/>
          <w:szCs w:val="32"/>
        </w:rPr>
      </w:pPr>
    </w:p>
    <w:p w14:paraId="2D10DF19">
      <w:pPr>
        <w:spacing w:line="600" w:lineRule="exact"/>
        <w:rPr>
          <w:rFonts w:ascii="楷体_GB2312" w:hAnsi="楷体_GB2312" w:eastAsia="楷体_GB2312" w:cs="楷体_GB2312"/>
          <w:bCs/>
          <w:spacing w:val="-17"/>
          <w:sz w:val="32"/>
          <w:szCs w:val="32"/>
        </w:rPr>
      </w:pPr>
    </w:p>
    <w:p w14:paraId="61FBC69C">
      <w:pPr>
        <w:spacing w:line="600" w:lineRule="exact"/>
        <w:rPr>
          <w:rFonts w:ascii="楷体_GB2312" w:hAnsi="楷体_GB2312" w:eastAsia="楷体_GB2312" w:cs="楷体_GB2312"/>
          <w:bCs/>
          <w:spacing w:val="-17"/>
          <w:sz w:val="32"/>
          <w:szCs w:val="32"/>
        </w:rPr>
      </w:pPr>
    </w:p>
    <w:p w14:paraId="1996445D">
      <w:pPr>
        <w:spacing w:line="600" w:lineRule="exact"/>
        <w:rPr>
          <w:rFonts w:ascii="楷体_GB2312" w:hAnsi="楷体_GB2312" w:eastAsia="楷体_GB2312" w:cs="楷体_GB2312"/>
          <w:bCs/>
          <w:spacing w:val="-17"/>
          <w:sz w:val="32"/>
          <w:szCs w:val="32"/>
        </w:rPr>
      </w:pPr>
    </w:p>
    <w:p w14:paraId="17A5D1D9">
      <w:pPr>
        <w:spacing w:line="600" w:lineRule="exact"/>
        <w:rPr>
          <w:rFonts w:ascii="楷体_GB2312" w:hAnsi="楷体_GB2312" w:eastAsia="楷体_GB2312" w:cs="楷体_GB2312"/>
          <w:bCs/>
          <w:spacing w:val="-17"/>
          <w:sz w:val="32"/>
          <w:szCs w:val="32"/>
        </w:rPr>
      </w:pPr>
    </w:p>
    <w:p w14:paraId="39C22DAF">
      <w:pPr>
        <w:spacing w:line="600" w:lineRule="exact"/>
        <w:rPr>
          <w:rFonts w:ascii="楷体_GB2312" w:hAnsi="楷体_GB2312" w:eastAsia="楷体_GB2312" w:cs="楷体_GB2312"/>
          <w:bCs/>
          <w:spacing w:val="-17"/>
          <w:sz w:val="32"/>
          <w:szCs w:val="32"/>
        </w:rPr>
      </w:pPr>
    </w:p>
    <w:p w14:paraId="6A9BEE6E">
      <w:pPr>
        <w:spacing w:line="600" w:lineRule="exact"/>
        <w:rPr>
          <w:rFonts w:ascii="楷体_GB2312" w:hAnsi="楷体_GB2312" w:eastAsia="楷体_GB2312" w:cs="楷体_GB2312"/>
          <w:bCs/>
          <w:spacing w:val="-17"/>
          <w:sz w:val="32"/>
          <w:szCs w:val="32"/>
        </w:rPr>
      </w:pPr>
    </w:p>
    <w:p w14:paraId="024076FB">
      <w:pPr>
        <w:spacing w:line="600" w:lineRule="exact"/>
        <w:rPr>
          <w:rFonts w:ascii="楷体_GB2312" w:hAnsi="楷体_GB2312" w:eastAsia="楷体_GB2312" w:cs="楷体_GB2312"/>
          <w:bCs/>
          <w:spacing w:val="-17"/>
          <w:sz w:val="32"/>
          <w:szCs w:val="32"/>
        </w:rPr>
      </w:pPr>
    </w:p>
    <w:p w14:paraId="1FC22F64">
      <w:pPr>
        <w:spacing w:line="600" w:lineRule="exact"/>
        <w:rPr>
          <w:rFonts w:ascii="楷体_GB2312" w:hAnsi="楷体_GB2312" w:eastAsia="楷体_GB2312" w:cs="楷体_GB2312"/>
          <w:bCs/>
          <w:spacing w:val="-17"/>
          <w:sz w:val="32"/>
          <w:szCs w:val="32"/>
        </w:rPr>
      </w:pPr>
    </w:p>
    <w:p w14:paraId="20312B45">
      <w:pPr>
        <w:spacing w:line="600" w:lineRule="exact"/>
        <w:rPr>
          <w:rFonts w:ascii="楷体_GB2312" w:hAnsi="楷体_GB2312" w:eastAsia="楷体_GB2312" w:cs="楷体_GB2312"/>
          <w:bCs/>
          <w:spacing w:val="-17"/>
          <w:sz w:val="32"/>
          <w:szCs w:val="32"/>
        </w:rPr>
      </w:pPr>
      <w:r>
        <w:rPr>
          <w:rFonts w:hint="eastAsia" w:ascii="楷体_GB2312" w:hAnsi="楷体_GB2312" w:eastAsia="楷体_GB2312" w:cs="楷体_GB2312"/>
          <w:bCs/>
          <w:spacing w:val="-17"/>
          <w:sz w:val="32"/>
          <w:szCs w:val="32"/>
        </w:rPr>
        <w:t>提案编号：028</w:t>
      </w:r>
    </w:p>
    <w:p w14:paraId="50F658BE">
      <w:pPr>
        <w:spacing w:line="600" w:lineRule="exact"/>
        <w:rPr>
          <w:rFonts w:ascii="楷体_GB2312" w:hAnsi="楷体_GB2312" w:eastAsia="楷体_GB2312" w:cs="楷体_GB2312"/>
          <w:bCs/>
          <w:spacing w:val="-17"/>
          <w:sz w:val="32"/>
          <w:szCs w:val="32"/>
        </w:rPr>
      </w:pPr>
      <w:r>
        <w:rPr>
          <w:rFonts w:hint="eastAsia" w:ascii="楷体_GB2312" w:hAnsi="楷体_GB2312" w:eastAsia="楷体_GB2312" w:cs="楷体_GB2312"/>
          <w:bCs/>
          <w:spacing w:val="-17"/>
          <w:sz w:val="32"/>
          <w:szCs w:val="32"/>
        </w:rPr>
        <w:t>提案名称：关于全旗文物保护工作的提案</w:t>
      </w:r>
    </w:p>
    <w:p w14:paraId="39BB69EE">
      <w:pPr>
        <w:spacing w:line="600" w:lineRule="exact"/>
        <w:rPr>
          <w:rFonts w:ascii="楷体_GB2312" w:hAnsi="楷体_GB2312" w:eastAsia="楷体_GB2312" w:cs="楷体_GB2312"/>
          <w:bCs/>
          <w:spacing w:val="-17"/>
          <w:sz w:val="32"/>
          <w:szCs w:val="32"/>
        </w:rPr>
      </w:pPr>
      <w:r>
        <w:rPr>
          <w:rFonts w:hint="eastAsia" w:ascii="楷体_GB2312" w:hAnsi="楷体_GB2312" w:eastAsia="楷体_GB2312" w:cs="楷体_GB2312"/>
          <w:bCs/>
          <w:spacing w:val="-30"/>
          <w:sz w:val="32"/>
          <w:szCs w:val="32"/>
        </w:rPr>
        <w:t>提  案  人</w:t>
      </w:r>
      <w:r>
        <w:rPr>
          <w:rFonts w:hint="eastAsia" w:ascii="楷体_GB2312" w:hAnsi="楷体_GB2312" w:eastAsia="楷体_GB2312" w:cs="楷体_GB2312"/>
          <w:sz w:val="32"/>
          <w:szCs w:val="32"/>
        </w:rPr>
        <w:t>：李云龙</w:t>
      </w:r>
      <w:r>
        <w:rPr>
          <w:rFonts w:hint="eastAsia" w:ascii="楷体_GB2312" w:hAnsi="楷体_GB2312" w:eastAsia="楷体_GB2312" w:cs="楷体_GB2312"/>
          <w:bCs/>
          <w:spacing w:val="-17"/>
          <w:sz w:val="32"/>
          <w:szCs w:val="32"/>
        </w:rPr>
        <w:t xml:space="preserve"> </w:t>
      </w:r>
    </w:p>
    <w:p w14:paraId="45BCC6AF">
      <w:pPr>
        <w:spacing w:line="600" w:lineRule="exact"/>
        <w:rPr>
          <w:rFonts w:ascii="楷体_GB2312" w:hAnsi="楷体_GB2312" w:eastAsia="楷体_GB2312" w:cs="楷体_GB2312"/>
          <w:sz w:val="32"/>
          <w:szCs w:val="32"/>
        </w:rPr>
      </w:pPr>
      <w:r>
        <w:rPr>
          <w:rFonts w:hint="eastAsia" w:ascii="楷体_GB2312" w:hAnsi="楷体_GB2312" w:eastAsia="楷体_GB2312" w:cs="楷体_GB2312"/>
          <w:bCs/>
          <w:spacing w:val="-17"/>
          <w:sz w:val="32"/>
          <w:szCs w:val="32"/>
        </w:rPr>
        <w:t>联系方式</w:t>
      </w:r>
      <w:r>
        <w:rPr>
          <w:rFonts w:hint="eastAsia" w:ascii="楷体_GB2312" w:hAnsi="楷体_GB2312" w:eastAsia="楷体_GB2312" w:cs="楷体_GB2312"/>
          <w:sz w:val="32"/>
          <w:szCs w:val="32"/>
        </w:rPr>
        <w:t>：15144761115</w:t>
      </w:r>
    </w:p>
    <w:p w14:paraId="470065BA">
      <w:pPr>
        <w:spacing w:line="600" w:lineRule="exact"/>
        <w:rPr>
          <w:rFonts w:ascii="楷体_GB2312" w:hAnsi="楷体_GB2312" w:eastAsia="楷体_GB2312" w:cs="楷体_GB2312"/>
          <w:bCs/>
          <w:spacing w:val="-17"/>
          <w:sz w:val="32"/>
          <w:szCs w:val="32"/>
        </w:rPr>
      </w:pPr>
      <w:r>
        <w:rPr>
          <w:rFonts w:hint="eastAsia" w:ascii="楷体_GB2312" w:hAnsi="楷体_GB2312" w:eastAsia="楷体_GB2312" w:cs="楷体_GB2312"/>
          <w:bCs/>
          <w:spacing w:val="-17"/>
          <w:sz w:val="32"/>
          <w:szCs w:val="32"/>
        </w:rPr>
        <w:t>界     别</w:t>
      </w:r>
      <w:r>
        <w:rPr>
          <w:rFonts w:hint="eastAsia" w:ascii="楷体_GB2312" w:hAnsi="楷体_GB2312" w:eastAsia="楷体_GB2312" w:cs="楷体_GB2312"/>
          <w:sz w:val="32"/>
          <w:szCs w:val="32"/>
        </w:rPr>
        <w:t>：</w:t>
      </w:r>
      <w:r>
        <w:rPr>
          <w:rFonts w:hint="eastAsia" w:ascii="楷体_GB2312" w:hAnsi="楷体_GB2312" w:eastAsia="楷体_GB2312" w:cs="楷体_GB2312"/>
          <w:bCs/>
          <w:spacing w:val="-17"/>
          <w:sz w:val="32"/>
          <w:szCs w:val="32"/>
        </w:rPr>
        <w:t>文化体育和新闻</w:t>
      </w:r>
    </w:p>
    <w:p w14:paraId="424A5F64">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关于全旗文物保护工作的提案</w:t>
      </w:r>
    </w:p>
    <w:p w14:paraId="3740A94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近年来，旗人民政府及文物保护部门认真贯彻落实《文物保护法》，牢固树立文物安全是文物保护的红线、底线和</w:t>
      </w:r>
    </w:p>
    <w:p w14:paraId="0B2C4A42">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生命线，不断创新文物保护工作思路，在文物抢救、保护、</w:t>
      </w:r>
    </w:p>
    <w:p w14:paraId="1D2EB93D">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管理和利用方面作了大量工作，取得了一定的成效。</w:t>
      </w:r>
    </w:p>
    <w:p w14:paraId="01F16988">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14:paraId="7939686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旗文物保护工作开展的基本情况我旗历史悠久，文物遍布。目前共有旗级以上文物保护和未定级不可移动遗址点605处，在旗委、旗政府的领导下，旗文物管理部门在文物保护利用方面做了大量积极有效的工作，使我旗重点文物得到了较好的发掘和保护。主要表现在:一是加大了文物法规的宣传和树立保护标志、宣传牌、公示牌、警示牌,使文物保护工作得到了领导的重视和群众支持，扩大了文物工作的影响，为做好文物保护工作营造了良好的氛围。二是强化文物保护队伍建设，全旗实施《文物长（长城长）》制，形成了旗、乡(镇)、村、点四级文物管护网络，建立健全了文物保护的各项规章制度，并加强学习培训工作，为全旗文物保护工作提供了组织保障。三是积极争取国家文物保护专项资金，加强了重点文物的维修以及三防工程的实施。</w:t>
      </w:r>
    </w:p>
    <w:p w14:paraId="4AD20843">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二、存在问题</w:t>
      </w:r>
    </w:p>
    <w:p w14:paraId="722656F3">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（一）基础工作仍较薄弱，文物流失与破坏现象时有发生。</w:t>
      </w:r>
      <w:r>
        <w:rPr>
          <w:rFonts w:hint="eastAsia" w:ascii="仿宋_GB2312" w:hAnsi="仿宋_GB2312" w:eastAsia="仿宋_GB2312" w:cs="仿宋_GB2312"/>
          <w:sz w:val="32"/>
          <w:szCs w:val="32"/>
        </w:rPr>
        <w:t>由于经费短缺等原因，我旗目前只有少数几处文物保护单位划定了保护范围，树立了保护标志、宣传牌、公示牌，其他绝大多数未完成相应的保护措施，也无法定期查看分布于全旗的文物保护单位的保护现状;部分渉建项目未到文物部门对建设工程范围内进行考古调查、勘探以及有无文物压覆核实。导致基本建设中破坏古遗迹、古墓葬等遗址点的现象时有发生。</w:t>
      </w:r>
    </w:p>
    <w:p w14:paraId="533D3472">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文物保护的</w:t>
      </w:r>
      <w:r>
        <w:rPr>
          <w:rFonts w:hint="eastAsia" w:ascii="楷体_GB2312" w:hAnsi="楷体_GB2312" w:eastAsia="楷体_GB2312" w:cs="楷体_GB2312"/>
          <w:sz w:val="32"/>
          <w:szCs w:val="32"/>
        </w:rPr>
        <w:t>思想认识</w:t>
      </w:r>
      <w:r>
        <w:rPr>
          <w:rFonts w:ascii="楷体_GB2312" w:hAnsi="楷体_GB2312" w:eastAsia="楷体_GB2312" w:cs="楷体_GB2312"/>
          <w:sz w:val="32"/>
          <w:szCs w:val="32"/>
        </w:rPr>
        <w:t>有待提高。</w:t>
      </w:r>
      <w:r>
        <w:rPr>
          <w:rFonts w:ascii="仿宋_GB2312" w:hAnsi="仿宋_GB2312" w:eastAsia="仿宋_GB2312" w:cs="仿宋_GB2312"/>
          <w:sz w:val="32"/>
          <w:szCs w:val="32"/>
        </w:rPr>
        <w:t>少数</w:t>
      </w:r>
      <w:r>
        <w:rPr>
          <w:rFonts w:hint="eastAsia" w:ascii="仿宋_GB2312" w:hAnsi="仿宋_GB2312" w:eastAsia="仿宋_GB2312" w:cs="仿宋_GB2312"/>
          <w:sz w:val="32"/>
          <w:szCs w:val="32"/>
        </w:rPr>
        <w:t>部门及老百姓</w:t>
      </w:r>
      <w:r>
        <w:rPr>
          <w:rFonts w:ascii="仿宋_GB2312" w:hAnsi="仿宋_GB2312" w:eastAsia="仿宋_GB2312" w:cs="仿宋_GB2312"/>
          <w:sz w:val="32"/>
          <w:szCs w:val="32"/>
        </w:rPr>
        <w:t>对文物保护工作的重要性还认识不够，存在着“重经济建设、轻文物保护”的思想。文物管理力量薄弱，</w:t>
      </w:r>
      <w:r>
        <w:rPr>
          <w:rFonts w:hint="eastAsia" w:ascii="仿宋_GB2312" w:hAnsi="仿宋_GB2312" w:eastAsia="仿宋_GB2312" w:cs="仿宋_GB2312"/>
          <w:sz w:val="32"/>
          <w:szCs w:val="32"/>
        </w:rPr>
        <w:t>全旗</w:t>
      </w:r>
      <w:r>
        <w:rPr>
          <w:rFonts w:ascii="仿宋_GB2312" w:hAnsi="仿宋_GB2312" w:eastAsia="仿宋_GB2312" w:cs="仿宋_GB2312"/>
          <w:sz w:val="32"/>
          <w:szCs w:val="32"/>
        </w:rPr>
        <w:t>从事文物保护的人员编制</w:t>
      </w:r>
      <w:r>
        <w:rPr>
          <w:rFonts w:hint="eastAsia" w:ascii="仿宋_GB2312" w:hAnsi="仿宋_GB2312" w:eastAsia="仿宋_GB2312" w:cs="仿宋_GB2312"/>
          <w:sz w:val="32"/>
          <w:szCs w:val="32"/>
        </w:rPr>
        <w:t>10</w:t>
      </w:r>
      <w:r>
        <w:rPr>
          <w:rFonts w:ascii="仿宋_GB2312" w:hAnsi="仿宋_GB2312" w:eastAsia="仿宋_GB2312" w:cs="仿宋_GB2312"/>
          <w:sz w:val="32"/>
          <w:szCs w:val="32"/>
        </w:rPr>
        <w:t>人，缺乏文物保护的专业人才，对文物保护的研究、发掘等显得“心有余而力不足”。有的</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对《文物保护法》等相关法律法规和我</w:t>
      </w:r>
      <w:r>
        <w:rPr>
          <w:rFonts w:hint="eastAsia" w:ascii="仿宋_GB2312" w:hAnsi="仿宋_GB2312" w:eastAsia="仿宋_GB2312" w:cs="仿宋_GB2312"/>
          <w:sz w:val="32"/>
          <w:szCs w:val="32"/>
        </w:rPr>
        <w:t>旗</w:t>
      </w:r>
      <w:r>
        <w:rPr>
          <w:rFonts w:ascii="仿宋_GB2312" w:hAnsi="仿宋_GB2312" w:eastAsia="仿宋_GB2312" w:cs="仿宋_GB2312"/>
          <w:sz w:val="32"/>
          <w:szCs w:val="32"/>
        </w:rPr>
        <w:t>重点文物保护单位的宣传力度不够，干部群众对我区文物资源状况不很了解。</w:t>
      </w:r>
    </w:p>
    <w:p w14:paraId="6E2037B0">
      <w:pPr>
        <w:spacing w:line="56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w:t>
      </w:r>
      <w:r>
        <w:rPr>
          <w:rFonts w:hint="eastAsia" w:ascii="楷体_GB2312" w:hAnsi="楷体_GB2312" w:eastAsia="楷体_GB2312" w:cs="楷体_GB2312"/>
          <w:sz w:val="32"/>
          <w:szCs w:val="32"/>
        </w:rPr>
        <w:t>三</w:t>
      </w:r>
      <w:r>
        <w:rPr>
          <w:rFonts w:ascii="楷体_GB2312" w:hAnsi="楷体_GB2312" w:eastAsia="楷体_GB2312" w:cs="楷体_GB2312"/>
          <w:sz w:val="32"/>
          <w:szCs w:val="32"/>
        </w:rPr>
        <w:t>)文物安全的环境建设有待加强</w:t>
      </w:r>
      <w:r>
        <w:rPr>
          <w:rFonts w:hint="eastAsia" w:ascii="楷体_GB2312" w:hAnsi="楷体_GB2312" w:eastAsia="楷体_GB2312" w:cs="楷体_GB2312"/>
          <w:sz w:val="32"/>
          <w:szCs w:val="32"/>
        </w:rPr>
        <w:t>。</w:t>
      </w:r>
      <w:r>
        <w:rPr>
          <w:rFonts w:ascii="仿宋_GB2312" w:hAnsi="仿宋_GB2312" w:eastAsia="仿宋_GB2312" w:cs="仿宋_GB2312"/>
          <w:sz w:val="32"/>
          <w:szCs w:val="32"/>
        </w:rPr>
        <w:t>我</w:t>
      </w:r>
      <w:r>
        <w:rPr>
          <w:rFonts w:hint="eastAsia" w:ascii="仿宋_GB2312" w:hAnsi="仿宋_GB2312" w:eastAsia="仿宋_GB2312" w:cs="仿宋_GB2312"/>
          <w:sz w:val="32"/>
          <w:szCs w:val="32"/>
        </w:rPr>
        <w:t>旗</w:t>
      </w:r>
      <w:r>
        <w:rPr>
          <w:rFonts w:ascii="仿宋_GB2312" w:hAnsi="仿宋_GB2312" w:eastAsia="仿宋_GB2312" w:cs="仿宋_GB2312"/>
          <w:sz w:val="32"/>
          <w:szCs w:val="32"/>
        </w:rPr>
        <w:t>文物点多面广，一些文保单位的文物建筑年久失修，部分文物保护单位虽进行了临时排危抢修，但受风吹日晒，暴雨等自然因素影响，本体有不同程度受损。部分文物保护单位还存在着电线已开始老化，消防设施和消防器材配置不到位，木质结构的文物建筑存在很大的安全隐患。</w:t>
      </w:r>
    </w:p>
    <w:p w14:paraId="6F5CC18D">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三、对策建议</w:t>
      </w:r>
    </w:p>
    <w:p w14:paraId="6D425F1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我旗文物保护工作必须得到进一步的重视和提升,必须采取得力有效措施，让我旗文物这一积淀了深厚的历史文化内涵的“亮点”真正“亮”起来，充分发挥其特有的作用。  为此，提出如下意见与建议:</w:t>
      </w:r>
      <w:r>
        <w:rPr>
          <w:rFonts w:hint="eastAsia" w:ascii="仿宋_GB2312" w:hAnsi="仿宋_GB2312" w:eastAsia="仿宋_GB2312" w:cs="仿宋_GB2312"/>
          <w:sz w:val="32"/>
          <w:szCs w:val="32"/>
        </w:rPr>
        <w:tab/>
      </w:r>
    </w:p>
    <w:p w14:paraId="7C49F9F5">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（一）切实加强文物保护工作的领导。</w:t>
      </w:r>
      <w:r>
        <w:rPr>
          <w:rFonts w:hint="eastAsia" w:ascii="仿宋_GB2312" w:hAnsi="仿宋_GB2312" w:eastAsia="仿宋_GB2312" w:cs="仿宋_GB2312"/>
          <w:sz w:val="32"/>
          <w:szCs w:val="32"/>
        </w:rPr>
        <w:t>要把文物保护工作摆上重要议事日程，成立专门组织，加强领导，每年定期听取文物保护工作汇报，制定可行的有效措施;要制定文保工作的长远规划和近期发展计划，以确保文保工作有计划、有重点的开展，每年定期不定期开展文保工作的检查、部署，发挥方方面面的推动作用，促进文物保护工作发展。</w:t>
      </w:r>
    </w:p>
    <w:p w14:paraId="51B1704E">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（二）有效增加对文物保护工作的经费投入。</w:t>
      </w:r>
      <w:r>
        <w:rPr>
          <w:rFonts w:hint="eastAsia" w:ascii="仿宋_GB2312" w:hAnsi="仿宋_GB2312" w:eastAsia="仿宋_GB2312" w:cs="仿宋_GB2312"/>
          <w:sz w:val="32"/>
          <w:szCs w:val="32"/>
        </w:rPr>
        <w:t>首先，要保证文物保护工作专项经费每年有适当的比例和增长幅度，有一定的事业经费，改善文保机构工作条件，努力解决好乡、村重点文保人员补助，对重点文物保护单位要重点专项投资保护;其次，要继续积极向上级有关部门申请经费支持，对部分文物进行开发利用保护。</w:t>
      </w:r>
      <w:r>
        <w:rPr>
          <w:rFonts w:hint="eastAsia" w:ascii="仿宋_GB2312" w:hAnsi="仿宋_GB2312" w:eastAsia="仿宋_GB2312" w:cs="仿宋_GB2312"/>
          <w:sz w:val="32"/>
          <w:szCs w:val="32"/>
        </w:rPr>
        <w:tab/>
      </w:r>
    </w:p>
    <w:p w14:paraId="0DBC9536">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（三）进一步健全文物保护工作机制。</w:t>
      </w:r>
      <w:r>
        <w:rPr>
          <w:rFonts w:hint="eastAsia" w:ascii="仿宋_GB2312" w:hAnsi="仿宋_GB2312" w:eastAsia="仿宋_GB2312" w:cs="仿宋_GB2312"/>
          <w:sz w:val="32"/>
          <w:szCs w:val="32"/>
        </w:rPr>
        <w:t>要根据《文物保护法》等有关法律法规的要求，形成一套可行的相关规章制度，开展文物安全大排查大整治行动，建立和完善文物督察制度，落实文物安全责任。清除文物安全隐患；要与公安部门、检察院、救援大队等部门建立联动工作机制，定期或不定期召集公安、交通、土地、财政、民族宗教、旅游、农业、住建局等有关部门，召开文物保护工作例会，通报情况、沟通信息、协调问题、制定措施，保证文保工作顺利开展。</w:t>
      </w:r>
    </w:p>
    <w:p w14:paraId="5BC8B461">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（四）要提升保护水平。</w:t>
      </w:r>
      <w:r>
        <w:rPr>
          <w:rFonts w:hint="eastAsia" w:ascii="仿宋_GB2312" w:hAnsi="仿宋_GB2312" w:eastAsia="仿宋_GB2312" w:cs="仿宋_GB2312"/>
          <w:sz w:val="32"/>
          <w:szCs w:val="32"/>
        </w:rPr>
        <w:t>采用先进的管理理念和技术手段，对遗址进行有效监测和管理；运用数字化技术、遥感监测等现代科技手段，对遗产进行记录、保护和研究，进一步提升系统性保护水平。</w:t>
      </w:r>
    </w:p>
    <w:p w14:paraId="63ADB672">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（五）要推动合理利用。</w:t>
      </w:r>
      <w:r>
        <w:rPr>
          <w:rFonts w:hint="eastAsia" w:ascii="仿宋_GB2312" w:hAnsi="仿宋_GB2312" w:eastAsia="仿宋_GB2312" w:cs="仿宋_GB2312"/>
          <w:sz w:val="32"/>
          <w:szCs w:val="32"/>
        </w:rPr>
        <w:t>将有特色的文物保护单位与经济社会发展相结合，与乡村振兴、旅游发展相融合，促进文化和自然遗产资源的转化利用，让文化和自然遗产成为推动经济发展、促进社会进步、丰富人民生活的重要力量。</w:t>
      </w:r>
    </w:p>
    <w:p w14:paraId="549BE04D">
      <w:pPr>
        <w:ind w:firstLine="640" w:firstLineChars="200"/>
        <w:rPr>
          <w:rFonts w:ascii="仿宋_GB2312" w:hAnsi="仿宋_GB2312" w:eastAsia="仿宋_GB2312" w:cs="仿宋_GB2312"/>
          <w:sz w:val="32"/>
          <w:szCs w:val="32"/>
        </w:rPr>
      </w:pPr>
    </w:p>
    <w:p w14:paraId="225E22E8">
      <w:pPr>
        <w:rPr>
          <w:rFonts w:ascii="楷体_GB2312" w:hAnsi="楷体_GB2312" w:eastAsia="楷体_GB2312" w:cs="楷体_GB2312"/>
          <w:sz w:val="32"/>
          <w:szCs w:val="32"/>
        </w:rPr>
      </w:pPr>
    </w:p>
    <w:p w14:paraId="66E86F40">
      <w:pPr>
        <w:rPr>
          <w:rFonts w:ascii="楷体_GB2312" w:hAnsi="楷体_GB2312" w:eastAsia="楷体_GB2312" w:cs="楷体_GB2312"/>
          <w:sz w:val="32"/>
          <w:szCs w:val="32"/>
        </w:rPr>
      </w:pPr>
    </w:p>
    <w:p w14:paraId="767FFDAA">
      <w:pPr>
        <w:rPr>
          <w:rFonts w:ascii="楷体_GB2312" w:hAnsi="楷体_GB2312" w:eastAsia="楷体_GB2312" w:cs="楷体_GB2312"/>
          <w:sz w:val="32"/>
          <w:szCs w:val="32"/>
        </w:rPr>
      </w:pPr>
    </w:p>
    <w:p w14:paraId="180D65C7">
      <w:pPr>
        <w:rPr>
          <w:rFonts w:ascii="楷体_GB2312" w:hAnsi="楷体_GB2312" w:eastAsia="楷体_GB2312" w:cs="楷体_GB2312"/>
          <w:sz w:val="32"/>
          <w:szCs w:val="32"/>
        </w:rPr>
      </w:pPr>
    </w:p>
    <w:p w14:paraId="0126C72C">
      <w:pPr>
        <w:rPr>
          <w:rFonts w:ascii="楷体_GB2312" w:hAnsi="楷体_GB2312" w:eastAsia="楷体_GB2312" w:cs="楷体_GB2312"/>
          <w:sz w:val="32"/>
          <w:szCs w:val="32"/>
        </w:rPr>
      </w:pPr>
    </w:p>
    <w:p w14:paraId="16D030E2">
      <w:pPr>
        <w:rPr>
          <w:rFonts w:ascii="楷体_GB2312" w:hAnsi="楷体_GB2312" w:eastAsia="楷体_GB2312" w:cs="楷体_GB2312"/>
          <w:sz w:val="32"/>
          <w:szCs w:val="32"/>
        </w:rPr>
      </w:pPr>
    </w:p>
    <w:p w14:paraId="5B196024">
      <w:pPr>
        <w:rPr>
          <w:rFonts w:ascii="楷体_GB2312" w:hAnsi="楷体_GB2312" w:eastAsia="楷体_GB2312" w:cs="楷体_GB2312"/>
          <w:sz w:val="32"/>
          <w:szCs w:val="32"/>
        </w:rPr>
      </w:pPr>
    </w:p>
    <w:p w14:paraId="6A6C35C9">
      <w:pPr>
        <w:rPr>
          <w:rFonts w:ascii="楷体_GB2312" w:hAnsi="楷体_GB2312" w:eastAsia="楷体_GB2312" w:cs="楷体_GB2312"/>
          <w:sz w:val="32"/>
          <w:szCs w:val="32"/>
        </w:rPr>
      </w:pPr>
    </w:p>
    <w:p w14:paraId="6C22F599">
      <w:pPr>
        <w:rPr>
          <w:rFonts w:ascii="楷体_GB2312" w:hAnsi="楷体_GB2312" w:eastAsia="楷体_GB2312" w:cs="楷体_GB2312"/>
          <w:sz w:val="32"/>
          <w:szCs w:val="32"/>
        </w:rPr>
      </w:pPr>
    </w:p>
    <w:p w14:paraId="478D1BA7">
      <w:pPr>
        <w:rPr>
          <w:rFonts w:ascii="楷体_GB2312" w:hAnsi="楷体_GB2312" w:eastAsia="楷体_GB2312" w:cs="楷体_GB2312"/>
          <w:sz w:val="32"/>
          <w:szCs w:val="32"/>
        </w:rPr>
      </w:pPr>
    </w:p>
    <w:p w14:paraId="21AD4A4F">
      <w:pPr>
        <w:rPr>
          <w:rFonts w:ascii="楷体_GB2312" w:hAnsi="楷体_GB2312" w:eastAsia="楷体_GB2312" w:cs="楷体_GB2312"/>
          <w:sz w:val="32"/>
          <w:szCs w:val="32"/>
        </w:rPr>
      </w:pPr>
    </w:p>
    <w:p w14:paraId="31BB5589">
      <w:pPr>
        <w:rPr>
          <w:rFonts w:ascii="楷体_GB2312" w:hAnsi="楷体_GB2312" w:eastAsia="楷体_GB2312" w:cs="楷体_GB2312"/>
          <w:sz w:val="32"/>
          <w:szCs w:val="32"/>
        </w:rPr>
      </w:pPr>
    </w:p>
    <w:p w14:paraId="72788C07">
      <w:pPr>
        <w:rPr>
          <w:rFonts w:ascii="楷体_GB2312" w:hAnsi="楷体_GB2312" w:eastAsia="楷体_GB2312" w:cs="楷体_GB2312"/>
          <w:sz w:val="32"/>
          <w:szCs w:val="32"/>
        </w:rPr>
      </w:pPr>
    </w:p>
    <w:p w14:paraId="377BF3E3">
      <w:pPr>
        <w:rPr>
          <w:rFonts w:ascii="楷体_GB2312" w:hAnsi="楷体_GB2312" w:eastAsia="楷体_GB2312" w:cs="楷体_GB2312"/>
          <w:sz w:val="32"/>
          <w:szCs w:val="32"/>
        </w:rPr>
      </w:pPr>
    </w:p>
    <w:p w14:paraId="4F38CC70">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提案编号:029</w:t>
      </w:r>
    </w:p>
    <w:p w14:paraId="448FD0FB">
      <w:pPr>
        <w:autoSpaceDE w:val="0"/>
        <w:spacing w:line="560" w:lineRule="exact"/>
        <w:ind w:left="1600" w:hanging="1600" w:hangingChars="500"/>
        <w:jc w:val="left"/>
        <w:rPr>
          <w:rFonts w:ascii="楷体_GB2312" w:hAnsi="方正小标宋简体" w:eastAsia="楷体_GB2312" w:cs="方正小标宋简体"/>
          <w:color w:val="000000" w:themeColor="text1"/>
          <w:sz w:val="32"/>
          <w:szCs w:val="32"/>
          <w14:textFill>
            <w14:solidFill>
              <w14:schemeClr w14:val="tx1"/>
            </w14:solidFill>
          </w14:textFill>
        </w:rPr>
      </w:pPr>
      <w:r>
        <w:rPr>
          <w:rFonts w:hint="eastAsia" w:ascii="楷体_GB2312" w:hAnsi="楷体_GB2312" w:eastAsia="楷体_GB2312" w:cs="楷体_GB2312"/>
          <w:sz w:val="32"/>
          <w:szCs w:val="32"/>
        </w:rPr>
        <w:t>提案名称:</w:t>
      </w:r>
      <w:r>
        <w:rPr>
          <w:rFonts w:hint="eastAsia" w:ascii="楷体_GB2312" w:hAnsi="方正小标宋简体" w:eastAsia="楷体_GB2312" w:cs="方正小标宋简体"/>
          <w:color w:val="000000" w:themeColor="text1"/>
          <w:sz w:val="32"/>
          <w:szCs w:val="32"/>
          <w14:textFill>
            <w14:solidFill>
              <w14:schemeClr w14:val="tx1"/>
            </w14:solidFill>
          </w14:textFill>
        </w:rPr>
        <w:t>关于新时代如何加强中小学生心理健康教育的提案</w:t>
      </w:r>
    </w:p>
    <w:p w14:paraId="6BC84947">
      <w:pPr>
        <w:spacing w:line="560" w:lineRule="exact"/>
        <w:rPr>
          <w:rFonts w:ascii="楷体_GB2312" w:hAnsi="Times New Roman" w:eastAsia="楷体_GB2312" w:cs="Times New Roman"/>
          <w:bCs/>
          <w:spacing w:val="-17"/>
          <w:sz w:val="32"/>
          <w:szCs w:val="32"/>
        </w:rPr>
      </w:pPr>
      <w:r>
        <w:rPr>
          <w:rFonts w:hint="eastAsia" w:ascii="楷体_GB2312" w:hAnsi="楷体_GB2312" w:eastAsia="楷体_GB2312" w:cs="楷体_GB2312"/>
          <w:sz w:val="32"/>
          <w:szCs w:val="32"/>
        </w:rPr>
        <w:t xml:space="preserve">提 案 人:唐国文 </w:t>
      </w:r>
      <w:r>
        <w:rPr>
          <w:rFonts w:hint="eastAsia" w:ascii="楷体_GB2312" w:hAnsi="Times New Roman" w:eastAsia="楷体_GB2312" w:cs="Times New Roman"/>
          <w:sz w:val="32"/>
          <w:szCs w:val="32"/>
        </w:rPr>
        <w:t xml:space="preserve">尚文兵 </w:t>
      </w:r>
      <w:r>
        <w:rPr>
          <w:rFonts w:hint="eastAsia" w:ascii="楷体_GB2312" w:hAnsi="楷体_GB2312" w:eastAsia="楷体_GB2312" w:cs="楷体_GB2312"/>
          <w:sz w:val="32"/>
          <w:szCs w:val="32"/>
        </w:rPr>
        <w:t>裴芳芳</w:t>
      </w:r>
    </w:p>
    <w:p w14:paraId="2DE4ADE0">
      <w:pPr>
        <w:spacing w:line="560" w:lineRule="exact"/>
        <w:rPr>
          <w:rFonts w:ascii="楷体_GB2312" w:hAnsi="Times New Roman" w:eastAsia="楷体_GB2312" w:cs="Times New Roman"/>
          <w:sz w:val="32"/>
          <w:szCs w:val="32"/>
        </w:rPr>
      </w:pPr>
      <w:r>
        <w:rPr>
          <w:rFonts w:hint="eastAsia" w:ascii="楷体_GB2312" w:hAnsi="楷体_GB2312" w:eastAsia="楷体_GB2312" w:cs="楷体_GB2312"/>
          <w:sz w:val="32"/>
          <w:szCs w:val="32"/>
        </w:rPr>
        <w:t xml:space="preserve">联系方式：13150972001 </w:t>
      </w:r>
      <w:r>
        <w:rPr>
          <w:rFonts w:hint="eastAsia" w:ascii="楷体_GB2312" w:hAnsi="Times New Roman" w:eastAsia="楷体_GB2312" w:cs="Times New Roman"/>
          <w:sz w:val="32"/>
          <w:szCs w:val="32"/>
        </w:rPr>
        <w:t xml:space="preserve">13674763290 </w:t>
      </w:r>
      <w:r>
        <w:rPr>
          <w:rFonts w:hint="eastAsia" w:ascii="楷体_GB2312" w:hAnsi="楷体_GB2312" w:eastAsia="楷体_GB2312" w:cs="楷体_GB2312"/>
          <w:sz w:val="32"/>
          <w:szCs w:val="32"/>
        </w:rPr>
        <w:t>18648198860</w:t>
      </w:r>
    </w:p>
    <w:p w14:paraId="155DDB8D">
      <w:pPr>
        <w:spacing w:line="560" w:lineRule="exact"/>
        <w:rPr>
          <w:rFonts w:ascii="楷体_GB2312" w:hAnsi="Times New Roman" w:eastAsia="楷体_GB2312" w:cs="Times New Roman"/>
          <w:bCs/>
          <w:spacing w:val="-17"/>
          <w:sz w:val="32"/>
          <w:szCs w:val="32"/>
        </w:rPr>
      </w:pPr>
      <w:r>
        <w:rPr>
          <w:rFonts w:hint="eastAsia" w:ascii="楷体_GB2312" w:hAnsi="楷体_GB2312" w:eastAsia="楷体_GB2312" w:cs="楷体_GB2312"/>
          <w:sz w:val="32"/>
          <w:szCs w:val="32"/>
        </w:rPr>
        <w:t xml:space="preserve">界    别:教育 </w:t>
      </w:r>
      <w:r>
        <w:rPr>
          <w:rFonts w:hint="eastAsia" w:ascii="楷体_GB2312" w:hAnsi="Times New Roman" w:eastAsia="楷体_GB2312" w:cs="Times New Roman"/>
          <w:sz w:val="32"/>
          <w:szCs w:val="32"/>
        </w:rPr>
        <w:t>教育</w:t>
      </w:r>
      <w:r>
        <w:rPr>
          <w:rFonts w:hint="eastAsia" w:ascii="楷体_GB2312" w:hAnsi="楷体_GB2312" w:eastAsia="楷体_GB2312" w:cs="楷体_GB2312"/>
          <w:sz w:val="32"/>
          <w:szCs w:val="32"/>
        </w:rPr>
        <w:t xml:space="preserve"> 特别邀请和归侨侨眷</w:t>
      </w:r>
    </w:p>
    <w:p w14:paraId="63305D2E">
      <w:pPr>
        <w:autoSpaceDE w:val="0"/>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关于新时代如何加强中小学生心理健康教育的提案</w:t>
      </w:r>
    </w:p>
    <w:p w14:paraId="151C01DE">
      <w:pPr>
        <w:autoSpaceDE w:val="0"/>
        <w:spacing w:line="560" w:lineRule="exact"/>
        <w:jc w:val="center"/>
        <w:rPr>
          <w:rFonts w:ascii="方正小标宋_GBK" w:hAnsi="方正小标宋_GBK" w:eastAsia="方正小标宋_GBK" w:cs="方正小标宋_GBK"/>
          <w:color w:val="000000" w:themeColor="text1"/>
          <w:sz w:val="44"/>
          <w:szCs w:val="44"/>
          <w14:textFill>
            <w14:solidFill>
              <w14:schemeClr w14:val="tx1"/>
            </w14:solidFill>
          </w14:textFill>
        </w:rPr>
      </w:pPr>
    </w:p>
    <w:p w14:paraId="2C25A4EB">
      <w:pPr>
        <w:autoSpaceDE w:val="0"/>
        <w:spacing w:line="56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2023年4月20日，经中央教育工作领导小组会议审议通过，由教育部、最高人民检察院、中宣部、公安部、民政部等十七部门印发了</w:t>
      </w:r>
      <w:r>
        <w:rPr>
          <w:rStyle w:val="16"/>
          <w:rFonts w:hint="eastAsia" w:ascii="仿宋_GB2312" w:hAnsi="Times New Roman" w:eastAsia="仿宋_GB2312" w:cs="Times New Roman"/>
          <w:bCs/>
          <w:color w:val="000000" w:themeColor="text1"/>
          <w:sz w:val="32"/>
          <w:szCs w:val="32"/>
          <w:shd w:val="clear" w:color="auto" w:fill="FFFFFF"/>
          <w14:textFill>
            <w14:solidFill>
              <w14:schemeClr w14:val="tx1"/>
            </w14:solidFill>
          </w14:textFill>
        </w:rPr>
        <w:t>《全面加强和改进新时代学生心理健康工作专项行动计划（2023—2025年）的通知》，通知指出：“</w:t>
      </w:r>
      <w:r>
        <w:rPr>
          <w:rFonts w:hint="eastAsia" w:ascii="仿宋_GB2312" w:hAnsi="Times New Roman" w:eastAsia="仿宋_GB2312" w:cs="Times New Roman"/>
          <w:color w:val="000000" w:themeColor="text1"/>
          <w:sz w:val="32"/>
          <w:szCs w:val="32"/>
          <w:shd w:val="clear" w:color="auto" w:fill="FFFFFF"/>
          <w14:textFill>
            <w14:solidFill>
              <w14:schemeClr w14:val="tx1"/>
            </w14:solidFill>
          </w14:textFill>
        </w:rPr>
        <w:t>促进学生身心健康、全面发展，是党中央关心、人民群众关切、社会关注的重大课题。随着经济社会快速发展，学生成长环境不断变化，叠加新冠疫情影响，学生心理健康问题更加凸显。”专项行动部门之多、任务之细、保障之强，是学生心理健康教育前所未有的。</w:t>
      </w:r>
      <w:r>
        <w:rPr>
          <w:rFonts w:hint="eastAsia" w:ascii="仿宋_GB2312" w:hAnsi="Times New Roman" w:eastAsia="仿宋_GB2312" w:cs="Times New Roman"/>
          <w:color w:val="000000" w:themeColor="text1"/>
          <w:sz w:val="32"/>
          <w:szCs w:val="32"/>
          <w14:textFill>
            <w14:solidFill>
              <w14:schemeClr w14:val="tx1"/>
            </w14:solidFill>
          </w14:textFill>
        </w:rPr>
        <w:t>中小学心理健康教育，是提高中小学生心理素质、促进身心健康和谐发展的教育，是进一步加强和改进中小学德育工作、全面推进教育高质量发展、培养社会主义合格建设者和接班人的重要组成部分。一年以来，全旗教育系统在旗委、旗政府的正确领导下，在旗人大、政协的关心支持下，认真落实教育部《中小学心理健康教育指导纲要（2012年修订）》、教育部等十七部门《全面加强和改进新时代学生心理健康工作专项行动计划（2023—2025年）》，高度关注中小学生心理健康，强化课程实施、专项辅导、队伍建设，有力保障了青少年学生全面健康发展。</w:t>
      </w:r>
    </w:p>
    <w:p w14:paraId="5FBFC469">
      <w:pPr>
        <w:autoSpaceDE w:val="0"/>
        <w:spacing w:line="560"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一、坚持健康第一的理念，统筹推进中小学校心育工作</w:t>
      </w:r>
    </w:p>
    <w:p w14:paraId="69280353">
      <w:pPr>
        <w:autoSpaceDE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Times New Roman" w:eastAsia="楷体_GB2312" w:cs="Times New Roman"/>
          <w:color w:val="000000" w:themeColor="text1"/>
          <w:sz w:val="32"/>
          <w:szCs w:val="32"/>
          <w14:textFill>
            <w14:solidFill>
              <w14:schemeClr w14:val="tx1"/>
            </w14:solidFill>
          </w14:textFill>
        </w:rPr>
        <w:t>（一）加强心理健康教育的组织领导。</w:t>
      </w:r>
      <w:r>
        <w:rPr>
          <w:rFonts w:ascii="Times New Roman" w:hAnsi="Times New Roman" w:eastAsia="仿宋_GB2312" w:cs="Times New Roman"/>
          <w:color w:val="000000" w:themeColor="text1"/>
          <w:sz w:val="32"/>
          <w:szCs w:val="32"/>
          <w14:textFill>
            <w14:solidFill>
              <w14:schemeClr w14:val="tx1"/>
            </w14:solidFill>
          </w14:textFill>
        </w:rPr>
        <w:t>把中小学校心理健康教育工作摆到重要位置，成立中小学心理健康教育工作领导小组，加强心理健康教育工作的管理与指导，贯通中小学各学段，贯穿学校、家庭、社会各方面。定期开展培训活动和心理健康教育研究工作。各学校建立了以学生行为习惯养成为主题的行为习惯养成室，强化学生心理活动的监测与心理问题的早发现与早干预。</w:t>
      </w:r>
    </w:p>
    <w:p w14:paraId="4699736D">
      <w:pPr>
        <w:autoSpaceDE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Times New Roman" w:eastAsia="楷体_GB2312" w:cs="Times New Roman"/>
          <w:color w:val="000000" w:themeColor="text1"/>
          <w:sz w:val="32"/>
          <w:szCs w:val="32"/>
          <w14:textFill>
            <w14:solidFill>
              <w14:schemeClr w14:val="tx1"/>
            </w14:solidFill>
          </w14:textFill>
        </w:rPr>
        <w:t>（二）强化心理辅导（咨询）室建设。</w:t>
      </w:r>
      <w:r>
        <w:rPr>
          <w:rFonts w:ascii="Times New Roman" w:hAnsi="Times New Roman" w:eastAsia="仿宋_GB2312" w:cs="Times New Roman"/>
          <w:color w:val="000000" w:themeColor="text1"/>
          <w:sz w:val="32"/>
          <w:szCs w:val="32"/>
          <w14:textFill>
            <w14:solidFill>
              <w14:schemeClr w14:val="tx1"/>
            </w14:solidFill>
          </w14:textFill>
        </w:rPr>
        <w:t>全旗各中小学均已建立心理辅导（咨询）室，并配备相应的设备和材料。每个心理辅导（咨询）室根据实际需要配备至少1名受过系统培训的专职或兼职心理教师。积极开发利用心理健康教育网络资源，购买学生读本、教师教学用书及其他心理健康教育课程资源。</w:t>
      </w:r>
    </w:p>
    <w:p w14:paraId="7B33AC7C">
      <w:pPr>
        <w:pStyle w:val="11"/>
        <w:shd w:val="clear" w:color="auto" w:fill="FFFFFF"/>
        <w:spacing w:beforeAutospacing="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楷体_GB2312" w:hAnsi="Times New Roman" w:eastAsia="楷体_GB2312"/>
          <w:color w:val="000000" w:themeColor="text1"/>
          <w:sz w:val="32"/>
          <w:szCs w:val="32"/>
          <w14:textFill>
            <w14:solidFill>
              <w14:schemeClr w14:val="tx1"/>
            </w14:solidFill>
          </w14:textFill>
        </w:rPr>
        <w:t>（三）推进心理健康教育教研工作。</w:t>
      </w:r>
      <w:r>
        <w:rPr>
          <w:rFonts w:ascii="Times New Roman" w:hAnsi="Times New Roman" w:eastAsia="仿宋_GB2312"/>
          <w:color w:val="000000" w:themeColor="text1"/>
          <w:sz w:val="32"/>
          <w:szCs w:val="32"/>
          <w14:textFill>
            <w14:solidFill>
              <w14:schemeClr w14:val="tx1"/>
            </w14:solidFill>
          </w14:textFill>
        </w:rPr>
        <w:t>积极组织教研人员、学校管理人员、心理健康教育教师、班主任开展心理健康教育的专题研究和课程研究。近两年，组织全旗专兼职心理健康教师及部分班主任500余人，从学生心育现状、学生心理问题成因、当前心育难题、心育支持、心理科普和预防、心理预警、一体化心理咨询室建设等进行了专题培训。选派66名专兼职心理健康教师赴呼市、赤峰、北京等进行学习观摩。结合心理健康教育的特点，开展优秀研究成果评选活动。建立中小学心理健康教育教研制度，深入学校指导心理健康教育工作，帮助学校解决教育教学中的实际问题。</w:t>
      </w:r>
    </w:p>
    <w:p w14:paraId="4DBAEDA7">
      <w:pPr>
        <w:autoSpaceDE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Times New Roman" w:eastAsia="楷体_GB2312" w:cs="Times New Roman"/>
          <w:color w:val="000000" w:themeColor="text1"/>
          <w:sz w:val="32"/>
          <w:szCs w:val="32"/>
          <w14:textFill>
            <w14:solidFill>
              <w14:schemeClr w14:val="tx1"/>
            </w14:solidFill>
          </w14:textFill>
        </w:rPr>
        <w:t>（四）做好心理健康教育评价。</w:t>
      </w:r>
      <w:r>
        <w:rPr>
          <w:rFonts w:ascii="Times New Roman" w:hAnsi="Times New Roman" w:eastAsia="仿宋_GB2312" w:cs="Times New Roman"/>
          <w:color w:val="000000" w:themeColor="text1"/>
          <w:sz w:val="32"/>
          <w:szCs w:val="32"/>
          <w14:textFill>
            <w14:solidFill>
              <w14:schemeClr w14:val="tx1"/>
            </w14:solidFill>
          </w14:textFill>
        </w:rPr>
        <w:t>制定心理健康教育工作的评价标准与办法，把心理健康教育作为考核学校教育工作的重要内容，纳入评估指标体系之中。教育督导部门定期开展心理健康教育专项督导检查。各学校把学生的心理健康状况作为学生综合素质评价的重要内容。</w:t>
      </w:r>
    </w:p>
    <w:p w14:paraId="59A7C7F7">
      <w:pPr>
        <w:autoSpaceDE w:val="0"/>
        <w:spacing w:line="560" w:lineRule="exact"/>
        <w:ind w:firstLine="640" w:firstLineChars="200"/>
        <w:rPr>
          <w:rFonts w:ascii="Times New Roman" w:hAnsi="Times New Roman" w:eastAsia="黑体" w:cs="Times New Roman"/>
          <w:color w:val="000000" w:themeColor="text1"/>
          <w:sz w:val="32"/>
          <w:szCs w:val="32"/>
          <w:lang w:bidi="ar"/>
          <w14:textFill>
            <w14:solidFill>
              <w14:schemeClr w14:val="tx1"/>
            </w14:solidFill>
          </w14:textFill>
        </w:rPr>
      </w:pPr>
      <w:r>
        <w:rPr>
          <w:rFonts w:ascii="Times New Roman" w:hAnsi="Times New Roman" w:eastAsia="黑体" w:cs="Times New Roman"/>
          <w:color w:val="000000" w:themeColor="text1"/>
          <w:sz w:val="32"/>
          <w:szCs w:val="32"/>
          <w:lang w:bidi="ar"/>
          <w14:textFill>
            <w14:solidFill>
              <w14:schemeClr w14:val="tx1"/>
            </w14:solidFill>
          </w14:textFill>
        </w:rPr>
        <w:t>二、把握中小学生现实心理状况，梳理工作问题与不足</w:t>
      </w:r>
    </w:p>
    <w:p w14:paraId="6210650A">
      <w:pPr>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总体而言，新时代中小学生心理健康状况喜忧参半。一方面，随着社会对心理健康教育的重视程度不断提高，学校、家庭和社会在心理健康教育方面的投入逐渐增加，部分中小学生能够正确认识和处理自己的心理问题，具备一定的心理调适能力。另一方面，中小学生面临着诸多压力和挑战，心理健康问题依然较为突出。</w:t>
      </w:r>
    </w:p>
    <w:p w14:paraId="0598B3A8">
      <w:pPr>
        <w:spacing w:line="56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一是学生方面。</w:t>
      </w:r>
      <w:r>
        <w:rPr>
          <w:rFonts w:ascii="Times New Roman" w:hAnsi="Times New Roman" w:eastAsia="仿宋_GB2312" w:cs="Times New Roman"/>
          <w:color w:val="000000" w:themeColor="text1"/>
          <w:sz w:val="32"/>
          <w:szCs w:val="32"/>
          <w:lang w:bidi="ar"/>
          <w14:textFill>
            <w14:solidFill>
              <w14:schemeClr w14:val="tx1"/>
            </w14:solidFill>
          </w14:textFill>
        </w:rPr>
        <w:t>中小学生面临着繁重的学业任务，为了在竞争中取得好成绩，他们往往需要花费大量的时间和精力学习，导致身心疲惫；在与同学相处上，可能会出现矛盾、冲突、孤立等情况。中小学生正处于自我意识发展的关键时期，他们往往比较敏感，容易因为一些小事而产生矛盾；一些学生由于性格内向、缺乏沟通技巧等原因，难以融入集体，容易被孤立；中小学生的情绪波动较大，有时难以有效地控制自己的情绪；一些学生缺乏明确的人生目标和自我价值感，对自己的未来感到迷茫，不知道自己想要什么，也不知道自己的人生价值在哪里。有的学生整天无所事事，不知道自己该做什么，对未来没有任何规划；中小学生在成长过程中还会遇到各种各样的困难和挫折，如学习困难、人际关系问题、家庭变故等，很容易被这些困难和挫折所困扰，产生消极情绪；有些学生过度使用电子产品，如手机、平板电脑、电脑等。这可能会导致他们沉迷于虚拟世界，不愿努力学习，忽视现实生活中的人际交往和活动，影响心理健康。</w:t>
      </w:r>
    </w:p>
    <w:p w14:paraId="1A4AB6B2">
      <w:pPr>
        <w:spacing w:line="56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二是家庭方面。</w:t>
      </w:r>
      <w:r>
        <w:rPr>
          <w:rFonts w:ascii="Times New Roman" w:hAnsi="Times New Roman" w:eastAsia="仿宋_GB2312" w:cs="Times New Roman"/>
          <w:color w:val="000000" w:themeColor="text1"/>
          <w:sz w:val="32"/>
          <w:szCs w:val="32"/>
          <w:lang w:bidi="ar"/>
          <w14:textFill>
            <w14:solidFill>
              <w14:schemeClr w14:val="tx1"/>
            </w14:solidFill>
          </w14:textFill>
        </w:rPr>
        <w:t>部分家长对学生的期望过高，过分强调成绩，给学生带来了心理压力。这种压力可能会导致学生出现焦虑、抑郁、厌学等问题；父母与孩子之间的观念差异增大，出现沟通不畅、代沟、家庭矛盾等问题；一些家长对孩子的教育方式不当，甚至不知道如何对孩子进行教育，不能有效地进行心理疏导，而是过于严厉或溺爱，导致孩子与父母关系紧张，进而产生逆反心理，与父母发生冲突。</w:t>
      </w:r>
    </w:p>
    <w:p w14:paraId="32197CFC">
      <w:pPr>
        <w:autoSpaceDE w:val="0"/>
        <w:spacing w:line="56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三是学校方面。</w:t>
      </w:r>
      <w:r>
        <w:rPr>
          <w:rFonts w:ascii="Times New Roman" w:hAnsi="Times New Roman" w:eastAsia="仿宋_GB2312" w:cs="Times New Roman"/>
          <w:color w:val="000000" w:themeColor="text1"/>
          <w:sz w:val="32"/>
          <w:szCs w:val="32"/>
          <w:lang w:bidi="ar"/>
          <w14:textFill>
            <w14:solidFill>
              <w14:schemeClr w14:val="tx1"/>
            </w14:solidFill>
          </w14:textFill>
        </w:rPr>
        <w:t>专职心理健康教师数量不足，有些学校或幼儿园心理健康教师均为兼职，很难保证心理健康教育的及时有效开展；部分兼职教师专业能力水平较低，不具备心理学及相关专业学历和专业知识，对学生进行心理健康教育或辅导缺乏针对性；心理健康教育的教研和教师的培训有待加强，帮助学校解决心理健康教育问题的能力有待提升。</w:t>
      </w:r>
    </w:p>
    <w:p w14:paraId="330474B9">
      <w:pPr>
        <w:autoSpaceDE w:val="0"/>
        <w:spacing w:line="560"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lang w:bidi="ar"/>
          <w14:textFill>
            <w14:solidFill>
              <w14:schemeClr w14:val="tx1"/>
            </w14:solidFill>
          </w14:textFill>
        </w:rPr>
        <w:t>三、建议</w:t>
      </w:r>
    </w:p>
    <w:p w14:paraId="0271301A">
      <w:pPr>
        <w:autoSpaceDE w:val="0"/>
        <w:spacing w:line="560" w:lineRule="exact"/>
        <w:ind w:firstLine="640" w:firstLineChars="200"/>
        <w:rPr>
          <w:rFonts w:ascii="Times New Roman" w:hAnsi="Times New Roman" w:eastAsia="仿宋_GB2312" w:cs="Times New Roman"/>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心理健康是学生成长和发展的第一指标，也是最重要的指标，它关乎着</w:t>
      </w:r>
      <w:r>
        <w:rPr>
          <w:rFonts w:ascii="Times New Roman" w:hAnsi="Times New Roman" w:eastAsia="仿宋_GB2312" w:cs="Times New Roman"/>
          <w:color w:val="000000" w:themeColor="text1"/>
          <w:sz w:val="32"/>
          <w:szCs w:val="32"/>
          <w14:textFill>
            <w14:solidFill>
              <w14:schemeClr w14:val="tx1"/>
            </w14:solidFill>
          </w14:textFill>
        </w:rPr>
        <w:t>学生健全的人格和良好的个性心理品质，关乎着未来的幸福生活与和谐美好，与社会发展和文明进步息息相关，是各级政府和教育部门以及家庭、社会重点关注和推进的工作。</w:t>
      </w:r>
    </w:p>
    <w:p w14:paraId="20F2FD2D">
      <w:pPr>
        <w:autoSpaceDE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Times New Roman" w:eastAsia="楷体_GB2312" w:cs="Times New Roman"/>
          <w:bCs/>
          <w:color w:val="000000" w:themeColor="text1"/>
          <w:sz w:val="32"/>
          <w:szCs w:val="32"/>
          <w:lang w:bidi="ar"/>
          <w14:textFill>
            <w14:solidFill>
              <w14:schemeClr w14:val="tx1"/>
            </w14:solidFill>
          </w14:textFill>
        </w:rPr>
        <w:t>（一）扛起心理健康教育的“责”。</w:t>
      </w:r>
      <w:r>
        <w:rPr>
          <w:rFonts w:ascii="Times New Roman" w:hAnsi="Times New Roman" w:eastAsia="仿宋_GB2312" w:cs="Times New Roman"/>
          <w:bCs/>
          <w:color w:val="000000" w:themeColor="text1"/>
          <w:sz w:val="32"/>
          <w:szCs w:val="32"/>
          <w:lang w:bidi="ar"/>
          <w14:textFill>
            <w14:solidFill>
              <w14:schemeClr w14:val="tx1"/>
            </w14:solidFill>
          </w14:textFill>
        </w:rPr>
        <w:t>习</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近平总书记高度重视心理健康教育工作，强调要“培育理性平和的健康心态，加强人文关怀和心理疏导”。心理健康教育是普及心理健康知识，提升学生心理素养的主渠道，也是当前必须回答的教育命题。教育系统各级各类学校、广大中小学教师要首先履职尽责，主动担当作为。坚持</w:t>
      </w:r>
      <w:r>
        <w:rPr>
          <w:rFonts w:ascii="Times New Roman" w:hAnsi="Times New Roman" w:eastAsia="仿宋_GB2312" w:cs="Times New Roman"/>
          <w:color w:val="000000" w:themeColor="text1"/>
          <w:sz w:val="32"/>
          <w:szCs w:val="32"/>
          <w14:textFill>
            <w14:solidFill>
              <w14:schemeClr w14:val="tx1"/>
            </w14:solidFill>
          </w14:textFill>
        </w:rPr>
        <w:t>以习近平新时代中国特色社会主义思想为指导，全面贯彻党的教育方针，坚持为党育人、为国育才，落实立德树人根本任务，统筹学校、家庭、社会各方面，培育学生热爱生活、珍视生命、自尊自信、理性平和、乐观向上的心理品质和不懈奋斗、百折不挠的意志品质，促进学生思想道德素质、科学文化素质和身心健康素质协调发展，培养担当民族复兴大任的时代新人。要强化做好心理健康教育的使命感，扛起责，抓住心，守住魂。</w:t>
      </w:r>
    </w:p>
    <w:p w14:paraId="3C107BC6">
      <w:pPr>
        <w:autoSpaceDE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Times New Roman" w:eastAsia="楷体_GB2312" w:cs="Times New Roman"/>
          <w:bCs/>
          <w:color w:val="000000" w:themeColor="text1"/>
          <w:sz w:val="32"/>
          <w:szCs w:val="32"/>
          <w:lang w:bidi="ar"/>
          <w14:textFill>
            <w14:solidFill>
              <w14:schemeClr w14:val="tx1"/>
            </w14:solidFill>
          </w14:textFill>
        </w:rPr>
        <w:t>（二）把好心理健康教育的“脉”。</w:t>
      </w:r>
      <w:r>
        <w:rPr>
          <w:rFonts w:ascii="Times New Roman" w:hAnsi="Times New Roman" w:eastAsia="仿宋_GB2312" w:cs="Times New Roman"/>
          <w:color w:val="000000" w:themeColor="text1"/>
          <w:sz w:val="32"/>
          <w:szCs w:val="32"/>
          <w:lang w:bidi="ar"/>
          <w14:textFill>
            <w14:solidFill>
              <w14:schemeClr w14:val="tx1"/>
            </w14:solidFill>
          </w14:textFill>
        </w:rPr>
        <w:t>切实加强心理健康危机问题预防和干预机制建设，每年组织师生参加全员心理健康筛查和监测，找出普遍存在的共性问题，透彻分析原因，认真把理脉情。对特殊的个性问题，加强危机预测，查找产生根源，充分发挥专业心理健康教师作用，做好科学评估和心理健康咨询与辅导工作，必要时要与家长会同，第一时间启动卫健部门专业治疗机制，确保师生心理健康问题能够及时发现、有效干预。</w:t>
      </w:r>
    </w:p>
    <w:p w14:paraId="312C941B">
      <w:pPr>
        <w:autoSpaceDE w:val="0"/>
        <w:spacing w:line="560" w:lineRule="exact"/>
        <w:ind w:firstLine="640" w:firstLineChars="200"/>
        <w:rPr>
          <w:rFonts w:ascii="Times New Roman" w:hAnsi="Times New Roman" w:eastAsia="仿宋_GB2312" w:cs="Times New Roman"/>
          <w:color w:val="000000" w:themeColor="text1"/>
          <w:sz w:val="32"/>
          <w:szCs w:val="32"/>
          <w:lang w:bidi="ar"/>
          <w14:textFill>
            <w14:solidFill>
              <w14:schemeClr w14:val="tx1"/>
            </w14:solidFill>
          </w14:textFill>
        </w:rPr>
      </w:pPr>
      <w:r>
        <w:rPr>
          <w:rFonts w:hint="eastAsia" w:ascii="楷体_GB2312" w:hAnsi="Times New Roman" w:eastAsia="楷体_GB2312" w:cs="Times New Roman"/>
          <w:bCs/>
          <w:color w:val="000000" w:themeColor="text1"/>
          <w:sz w:val="32"/>
          <w:szCs w:val="32"/>
          <w:lang w:bidi="ar"/>
          <w14:textFill>
            <w14:solidFill>
              <w14:schemeClr w14:val="tx1"/>
            </w14:solidFill>
          </w14:textFill>
        </w:rPr>
        <w:t>（三）开好心理健康教育的“方”。</w:t>
      </w:r>
      <w:r>
        <w:rPr>
          <w:rFonts w:ascii="Times New Roman" w:hAnsi="Times New Roman" w:eastAsia="仿宋_GB2312" w:cs="Times New Roman"/>
          <w:color w:val="000000" w:themeColor="text1"/>
          <w:sz w:val="32"/>
          <w:szCs w:val="32"/>
          <w:lang w:bidi="ar"/>
          <w14:textFill>
            <w14:solidFill>
              <w14:schemeClr w14:val="tx1"/>
            </w14:solidFill>
          </w14:textFill>
        </w:rPr>
        <w:t>充分用好心理健康教育课，</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坚定课程育人导向。习近平总书记在学校思想政治理论课教师座谈会上强调：“要坚持显性教育和隐性教育相统一，挖掘其他课程和教学方式中蕴含的思想政治教育资源，实现全员全程全方位育人。”心理健康教育是思想政治教育的重要组成部分，在塑造学生正确理想信念、价值观念、健康人格上有特殊的意义和优势。心理健康教育课程需聚焦学生价值取向、社会导向和教育发展根本方向，深度挖掘课程思政元素，有机融入社会主义核心价值观、优秀传统文化、本土红色资源等蕴含的时代内涵与教育价值，把解决思想问题、心理问题与实际问题结合起来，同心同向，引领学生树立正确的理想信念，培养学生自尊自信、理性平和、积极向上的健康心态。强化心理健康课程在“三全育人”整体布局中的协同发展和一体推进。心理健康教育要同向“三全育人”大格局、同行“大思政”育人计划，不仅要抓好教师队伍“主力军”、课程建设“主战场”、课堂教学“主渠道”、社会实践活动“主阵地”，更要打通上下、辐射全程，发挥学校心理健康教育育人导向与优势力量，促进全旗心理工作共建共享，用好用足心理咨询室，打造心理健康教育工作共同体，开出求本务实的方，研究有效管用的“药”，贯通学生教育成长全过程。</w:t>
      </w:r>
    </w:p>
    <w:p w14:paraId="05CC9083">
      <w:pPr>
        <w:autoSpaceDE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Times New Roman" w:eastAsia="楷体_GB2312" w:cs="Times New Roman"/>
          <w:bCs/>
          <w:color w:val="000000" w:themeColor="text1"/>
          <w:sz w:val="32"/>
          <w:szCs w:val="32"/>
          <w:lang w:bidi="ar"/>
          <w14:textFill>
            <w14:solidFill>
              <w14:schemeClr w14:val="tx1"/>
            </w14:solidFill>
          </w14:textFill>
        </w:rPr>
        <w:t>（四）织密心理健康教育的“网”。</w:t>
      </w:r>
      <w:r>
        <w:rPr>
          <w:rFonts w:ascii="Times New Roman" w:hAnsi="Times New Roman" w:eastAsia="仿宋_GB2312" w:cs="Times New Roman"/>
          <w:color w:val="000000" w:themeColor="text1"/>
          <w:sz w:val="32"/>
          <w:szCs w:val="32"/>
          <w:lang w:bidi="ar"/>
          <w14:textFill>
            <w14:solidFill>
              <w14:schemeClr w14:val="tx1"/>
            </w14:solidFill>
          </w14:textFill>
        </w:rPr>
        <w:t>要把心理健康教育有机融入校园德育工作体系，列入平安校园建设主体事项，纳入班级课程，构建专业心理健康教育教师为主、兼职教师为辅的师资配备格局，不断优化完善课程体系，与生涯规划教育工作统筹推进。加强心理咨询室科学设计与投入，营造安全健康、友爱和谐的校园环境。组建包括分管副校（园）长、德育（保教）主任、班主任及心理健康教师和健康副校长在内的校园心理健康工作委员会，聘请心理健康专家任顾问委员，开展专业督导和培养培训工作；注重发挥学生主体作用，设置心理班委，与学共体建设融合落实，系统构建校园心理健康工作组织体系与工作网。要</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将学生心理健康教育融入教育教学、管理服务和学生成长各环节，在学科教学中注重维护学生心理健康，从干预和诊治学生心理健康问题向‘防未病’转变，大力推进学生体质强健计划、美育浸润行动、劳动习惯养成计划、科学教育促进计划、青少年读书行动。要大力培育和建设专业化心理健康危机监测队伍，建立家庭、学校、医院‘三位一体’的青少年心理健康管理体系，及时跟踪监测学生心理健康状况、影响因素和发展趋势，全面诊断和了解学生突出心理问题及其关键影响因素，为学校深入开展学生心理健康教育提供科学依据。要坚定育人导向，整合资源，完善课程，健全机制，形成合力，全力构建与课程教学紧密衔接的心育“大课堂”，让学生在课堂上学习知识、在生活里体会践行、在文化中滋养浸润，为培养社会主义合格的建设者和接班人奠定优良的心理基础。</w:t>
      </w:r>
    </w:p>
    <w:p w14:paraId="3C48FBB0">
      <w:pPr>
        <w:autoSpaceDE w:val="0"/>
        <w:spacing w:line="560" w:lineRule="exact"/>
        <w:ind w:firstLine="640" w:firstLineChars="200"/>
        <w:rPr>
          <w:rFonts w:ascii="Times New Roman" w:hAnsi="Times New Roman" w:eastAsia="仿宋_GB2312" w:cs="Times New Roman"/>
          <w:color w:val="000000" w:themeColor="text1"/>
          <w:sz w:val="32"/>
          <w:szCs w:val="32"/>
          <w:lang w:bidi="ar"/>
          <w14:textFill>
            <w14:solidFill>
              <w14:schemeClr w14:val="tx1"/>
            </w14:solidFill>
          </w14:textFill>
        </w:rPr>
      </w:pPr>
    </w:p>
    <w:p w14:paraId="1CF993B3">
      <w:pPr>
        <w:autoSpaceDE w:val="0"/>
        <w:spacing w:line="560" w:lineRule="exact"/>
        <w:ind w:firstLine="640" w:firstLineChars="200"/>
        <w:rPr>
          <w:rFonts w:ascii="楷体" w:hAnsi="楷体" w:eastAsia="楷体" w:cs="楷体"/>
          <w:color w:val="000000" w:themeColor="text1"/>
          <w:sz w:val="32"/>
          <w:szCs w:val="32"/>
          <w:lang w:bidi="ar"/>
          <w14:textFill>
            <w14:solidFill>
              <w14:schemeClr w14:val="tx1"/>
            </w14:solidFill>
          </w14:textFill>
        </w:rPr>
      </w:pPr>
    </w:p>
    <w:p w14:paraId="20A5D9C9">
      <w:pPr>
        <w:autoSpaceDE w:val="0"/>
        <w:spacing w:line="560" w:lineRule="exact"/>
        <w:ind w:firstLine="640" w:firstLineChars="200"/>
        <w:rPr>
          <w:rFonts w:ascii="楷体" w:hAnsi="楷体" w:eastAsia="楷体" w:cs="楷体"/>
          <w:color w:val="000000" w:themeColor="text1"/>
          <w:sz w:val="32"/>
          <w:szCs w:val="32"/>
          <w:lang w:bidi="ar"/>
          <w14:textFill>
            <w14:solidFill>
              <w14:schemeClr w14:val="tx1"/>
            </w14:solidFill>
          </w14:textFill>
        </w:rPr>
      </w:pPr>
    </w:p>
    <w:p w14:paraId="2B0CA585">
      <w:pPr>
        <w:autoSpaceDE w:val="0"/>
        <w:spacing w:line="560" w:lineRule="exact"/>
        <w:rPr>
          <w:rFonts w:ascii="仿宋" w:hAnsi="仿宋" w:eastAsia="仿宋"/>
          <w:color w:val="000000" w:themeColor="text1"/>
          <w:sz w:val="32"/>
          <w:szCs w:val="32"/>
          <w14:textFill>
            <w14:solidFill>
              <w14:schemeClr w14:val="tx1"/>
            </w14:solidFill>
          </w14:textFill>
        </w:rPr>
      </w:pPr>
    </w:p>
    <w:p w14:paraId="76AC8202">
      <w:pPr>
        <w:autoSpaceDE w:val="0"/>
        <w:spacing w:line="560" w:lineRule="exact"/>
        <w:ind w:firstLine="4160" w:firstLineChars="13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 xml:space="preserve"> </w:t>
      </w:r>
    </w:p>
    <w:p w14:paraId="0D0E53C7">
      <w:pPr>
        <w:spacing w:line="600" w:lineRule="exact"/>
        <w:rPr>
          <w:rFonts w:ascii="楷体_GB2312" w:hAnsi="仿宋" w:eastAsia="楷体_GB2312" w:cs="仿宋"/>
          <w:sz w:val="32"/>
          <w:szCs w:val="32"/>
        </w:rPr>
      </w:pPr>
      <w:r>
        <w:rPr>
          <w:rFonts w:hint="eastAsia" w:ascii="楷体_GB2312" w:hAnsi="仿宋" w:eastAsia="楷体_GB2312" w:cs="仿宋"/>
          <w:sz w:val="32"/>
          <w:szCs w:val="32"/>
        </w:rPr>
        <w:t>提案编号：030</w:t>
      </w:r>
    </w:p>
    <w:p w14:paraId="071D060E">
      <w:pPr>
        <w:spacing w:line="600" w:lineRule="exact"/>
        <w:ind w:left="1600" w:hanging="1600" w:hangingChars="500"/>
        <w:rPr>
          <w:rFonts w:ascii="楷体_GB2312" w:hAnsi="仿宋" w:eastAsia="楷体_GB2312" w:cs="仿宋"/>
          <w:sz w:val="32"/>
          <w:szCs w:val="32"/>
        </w:rPr>
      </w:pPr>
      <w:r>
        <w:rPr>
          <w:rFonts w:hint="eastAsia" w:ascii="楷体_GB2312" w:hAnsi="仿宋" w:eastAsia="楷体_GB2312" w:cs="仿宋"/>
          <w:sz w:val="32"/>
          <w:szCs w:val="32"/>
        </w:rPr>
        <w:t>提案名称：关于新形势下喀喇沁旗博物馆存在的问题及发展的提案</w:t>
      </w:r>
    </w:p>
    <w:p w14:paraId="0D6ACE57">
      <w:pPr>
        <w:spacing w:line="600" w:lineRule="exact"/>
        <w:rPr>
          <w:rFonts w:ascii="楷体_GB2312" w:hAnsi="仿宋" w:eastAsia="楷体_GB2312" w:cs="仿宋"/>
          <w:sz w:val="32"/>
          <w:szCs w:val="32"/>
        </w:rPr>
      </w:pPr>
      <w:r>
        <w:rPr>
          <w:rFonts w:hint="eastAsia" w:ascii="楷体_GB2312" w:hAnsi="仿宋" w:eastAsia="楷体_GB2312" w:cs="仿宋"/>
          <w:sz w:val="32"/>
          <w:szCs w:val="32"/>
        </w:rPr>
        <w:t>提 案 人：崔玉坤</w:t>
      </w:r>
    </w:p>
    <w:p w14:paraId="7FD65913">
      <w:pPr>
        <w:spacing w:line="600" w:lineRule="exact"/>
        <w:rPr>
          <w:rFonts w:ascii="楷体_GB2312" w:hAnsi="仿宋" w:eastAsia="楷体_GB2312" w:cs="仿宋"/>
          <w:sz w:val="32"/>
          <w:szCs w:val="32"/>
        </w:rPr>
      </w:pPr>
      <w:r>
        <w:rPr>
          <w:rFonts w:hint="eastAsia" w:ascii="楷体_GB2312" w:hAnsi="仿宋" w:eastAsia="楷体_GB2312" w:cs="仿宋"/>
          <w:sz w:val="32"/>
          <w:szCs w:val="32"/>
        </w:rPr>
        <w:t>联系方式：15149108366</w:t>
      </w:r>
    </w:p>
    <w:p w14:paraId="0CDD2CB4">
      <w:pPr>
        <w:spacing w:line="600" w:lineRule="exact"/>
        <w:rPr>
          <w:rFonts w:ascii="楷体_GB2312" w:hAnsi="仿宋" w:eastAsia="楷体_GB2312" w:cs="仿宋"/>
          <w:sz w:val="32"/>
          <w:szCs w:val="32"/>
        </w:rPr>
      </w:pPr>
      <w:r>
        <w:rPr>
          <w:rFonts w:hint="eastAsia" w:ascii="楷体_GB2312" w:hAnsi="仿宋" w:eastAsia="楷体_GB2312" w:cs="仿宋"/>
          <w:sz w:val="32"/>
          <w:szCs w:val="32"/>
        </w:rPr>
        <w:t>界    别：文化体育和新闻</w:t>
      </w:r>
    </w:p>
    <w:p w14:paraId="4D1C0331">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关于新形势下喀喇沁旗博物馆存在的问题及发展的提案</w:t>
      </w:r>
    </w:p>
    <w:p w14:paraId="63CC3E8D">
      <w:pPr>
        <w:spacing w:line="600" w:lineRule="exact"/>
        <w:ind w:firstLine="640" w:firstLineChars="200"/>
        <w:rPr>
          <w:rFonts w:ascii="黑体" w:hAnsi="黑体" w:eastAsia="黑体" w:cs="黑体"/>
          <w:sz w:val="32"/>
          <w:szCs w:val="32"/>
        </w:rPr>
      </w:pPr>
    </w:p>
    <w:p w14:paraId="54818D1F">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14:paraId="0897738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喀喇沁旗博物馆作为地方历史文化的重要展示窗口，承载着传承和弘扬地方文化的重任。近年来，随着文化旅游业的快速发展和人民群众精神文化需求的日益增长，喀喇沁旗博物馆面临着新的发展机遇与挑战。然而，在新形势下，博物馆存在主业不强、副业不大、后劲不足等问题，制约了其功能的充分发挥。为此，本提案旨在分析当前喀喇沁旗博物馆存在的问题，并提出相应的发展建议，以期推动博物馆的持续健康发展。</w:t>
      </w:r>
    </w:p>
    <w:p w14:paraId="5527F3B4">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二、存在的问题</w:t>
      </w:r>
    </w:p>
    <w:p w14:paraId="794A2160">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1、主业不强。</w:t>
      </w:r>
      <w:r>
        <w:rPr>
          <w:rFonts w:hint="eastAsia" w:ascii="仿宋_GB2312" w:hAnsi="仿宋_GB2312" w:eastAsia="仿宋_GB2312" w:cs="仿宋_GB2312"/>
          <w:sz w:val="32"/>
          <w:szCs w:val="32"/>
        </w:rPr>
        <w:t>博物馆作为旗级、国家三级博物馆，其本质上应该以文物收藏展览、弘扬民族文化为主业，开展文物保护、征集、鉴定、登编、修复、研究、宣传、社会教育、交流合作等工作。目前，受经费保障影响，仅仅行使了文物保护、研学教育等基本职能，与博物馆应该发挥的作用差距较大。</w:t>
      </w:r>
    </w:p>
    <w:p w14:paraId="1D1774B9">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2、副业不大。</w:t>
      </w:r>
      <w:r>
        <w:rPr>
          <w:rFonts w:hint="eastAsia" w:ascii="仿宋_GB2312" w:hAnsi="仿宋_GB2312" w:eastAsia="仿宋_GB2312" w:cs="仿宋_GB2312"/>
          <w:sz w:val="32"/>
          <w:szCs w:val="32"/>
        </w:rPr>
        <w:t>博物馆作为国家4A级景区，旅游基础设施及服务保障严重不足，展品陈列20年未变。2024年，尽管依托“来王府•过大年”活动的影响，持续策划举办了“清明踏青正当时，春游王府更精彩”国风古韵打卡、“来王府•品古韵新声，赏春日繁花”五一假期、“来王府•享盛夏”“来王府•度金秋”等系列主题活动，增加了非遗演艺、快闪表演、复古小火车游览、古风服饰体验、网红墙、古风廊道和公主下嫁情景剧演出等活动业态，旅游接待人数突破40万人次，但收入也仅仅实现了未向政府申请补贴、保证博物馆正常运营的水平，营收能力严重不足。</w:t>
      </w:r>
    </w:p>
    <w:p w14:paraId="1D805DFF">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3、后劲不足。</w:t>
      </w:r>
      <w:r>
        <w:rPr>
          <w:rFonts w:hint="eastAsia" w:ascii="仿宋_GB2312" w:hAnsi="仿宋_GB2312" w:eastAsia="仿宋_GB2312" w:cs="仿宋_GB2312"/>
          <w:sz w:val="32"/>
          <w:szCs w:val="32"/>
        </w:rPr>
        <w:t>受体制机制影响，博物馆日常管理、经营创收中，少数人在干、多数人在看的现象十分突出。加之受业态单一、与环境相配套的新技术新体验缺失、资金保障水平较低等因素制约，营收增长日趋艰难。</w:t>
      </w:r>
    </w:p>
    <w:p w14:paraId="3673F312">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三、建议</w:t>
      </w:r>
    </w:p>
    <w:p w14:paraId="13DEFF0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针对存在的以上问题，结合博物馆优势及现状，提出以下发展建议。</w:t>
      </w:r>
    </w:p>
    <w:p w14:paraId="7EE4A5A0">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（一）强化基础设施建设，推进各类项目实施。</w:t>
      </w:r>
      <w:r>
        <w:rPr>
          <w:rFonts w:hint="eastAsia" w:ascii="仿宋_GB2312" w:hAnsi="仿宋_GB2312" w:eastAsia="仿宋_GB2312" w:cs="仿宋_GB2312"/>
          <w:sz w:val="32"/>
          <w:szCs w:val="32"/>
        </w:rPr>
        <w:t>以古建油饰，楹联、匾额、中堂画创作制作为抓手，全力推动博物馆陈列展览提升改造工程的实施。以与上海航空国际旅游集团合作为契机，推动亲王府、福会寺基础设施配套整修工程顺利完成。同时，加快推动喀喇沁旗非物质遗产文化中心建设项目、喀喇沁旗亲王府及家庙管理服务设施建设工程尽快落地。通过以上项目的实施，彻底改变博物馆旅游接待和社会服务形象。</w:t>
      </w:r>
    </w:p>
    <w:p w14:paraId="10FF3EA8">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（二）强化运营管理创新，推动旅游收入增长。</w:t>
      </w:r>
      <w:r>
        <w:rPr>
          <w:rFonts w:hint="eastAsia" w:ascii="仿宋_GB2312" w:hAnsi="仿宋_GB2312" w:eastAsia="仿宋_GB2312" w:cs="仿宋_GB2312"/>
          <w:sz w:val="32"/>
          <w:szCs w:val="32"/>
        </w:rPr>
        <w:t>持续策划举办春节、五一、端午、暑期、中秋等系列“来王府”专题活动，寻找第三方合作伙伴，做好经营增量，增加景区业态，加大线上线下营销推广宣传力度，全方位进行品牌定位和形象塑造，打造“清新喀喇沁•遇见亲王府”旅游形象IP，努力实现博物馆的历史文化资源与旅游产业发展深度融合，推动旅游收入增长。</w:t>
      </w:r>
    </w:p>
    <w:p w14:paraId="509CF20E">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（三）强化库存藏品利用，带动社会效能发挥。</w:t>
      </w:r>
      <w:r>
        <w:rPr>
          <w:rFonts w:hint="eastAsia" w:ascii="仿宋_GB2312" w:hAnsi="仿宋_GB2312" w:eastAsia="仿宋_GB2312" w:cs="仿宋_GB2312"/>
          <w:sz w:val="32"/>
          <w:szCs w:val="32"/>
        </w:rPr>
        <w:t>成立专业技术人员组成的专班，按照效益最大化的原则，整理利用近年征集的老物件、名人书画，开展展品藏品数据库建设，围绕各类专题活动，策划举办临时展览，让老物件活起来。比如，中秋、十一假期前，利用征集的月饼模具完成以中秋民俗为主要内容的临展策展工作。</w:t>
      </w:r>
    </w:p>
    <w:p w14:paraId="48B4480E">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（四）强化绩效考核引导，促动营收能力提升。</w:t>
      </w:r>
      <w:r>
        <w:rPr>
          <w:rFonts w:hint="eastAsia" w:ascii="仿宋_GB2312" w:hAnsi="仿宋_GB2312" w:eastAsia="仿宋_GB2312" w:cs="仿宋_GB2312"/>
          <w:sz w:val="32"/>
          <w:szCs w:val="32"/>
        </w:rPr>
        <w:t>以市场化经营企业化管理为突破口，建立全员营销机制，调动员工能力提升和参与景区运营的积极性，有效提升景区的知名度和吸引力，实现游客数量的增加，促动营收能力的提升。</w:t>
      </w:r>
    </w:p>
    <w:p w14:paraId="6CAC7B44">
      <w:pPr>
        <w:spacing w:line="600" w:lineRule="exact"/>
        <w:ind w:firstLine="640" w:firstLineChars="200"/>
        <w:rPr>
          <w:rFonts w:ascii="仿宋_GB2312" w:hAnsi="仿宋_GB2312" w:eastAsia="仿宋_GB2312" w:cs="仿宋_GB2312"/>
          <w:sz w:val="32"/>
          <w:szCs w:val="32"/>
        </w:rPr>
      </w:pPr>
    </w:p>
    <w:p w14:paraId="7CD8807E">
      <w:pPr>
        <w:spacing w:line="600" w:lineRule="exact"/>
        <w:ind w:firstLine="640" w:firstLineChars="200"/>
        <w:rPr>
          <w:rFonts w:ascii="仿宋_GB2312" w:hAnsi="仿宋_GB2312" w:eastAsia="仿宋_GB2312" w:cs="仿宋_GB2312"/>
          <w:sz w:val="32"/>
          <w:szCs w:val="32"/>
        </w:rPr>
      </w:pPr>
    </w:p>
    <w:p w14:paraId="3E006AD1">
      <w:pPr>
        <w:spacing w:line="600" w:lineRule="exact"/>
        <w:rPr>
          <w:rFonts w:ascii="楷体_GB2312" w:hAnsi="楷体" w:eastAsia="楷体_GB2312" w:cs="楷体"/>
          <w:sz w:val="32"/>
          <w:szCs w:val="32"/>
        </w:rPr>
      </w:pPr>
      <w:r>
        <w:rPr>
          <w:rFonts w:hint="eastAsia" w:ascii="楷体_GB2312" w:hAnsi="楷体" w:eastAsia="楷体_GB2312" w:cs="楷体"/>
          <w:sz w:val="32"/>
          <w:szCs w:val="32"/>
        </w:rPr>
        <w:t>提案</w:t>
      </w:r>
      <w:r>
        <w:rPr>
          <w:rFonts w:hint="eastAsia" w:ascii="楷体_GB2312" w:hAnsi="楷体" w:eastAsia="楷体_GB2312" w:cs="楷体"/>
          <w:bCs/>
          <w:sz w:val="32"/>
          <w:szCs w:val="32"/>
        </w:rPr>
        <w:t>编号：031</w:t>
      </w:r>
    </w:p>
    <w:p w14:paraId="3FB58F63">
      <w:pPr>
        <w:spacing w:line="600" w:lineRule="exact"/>
        <w:rPr>
          <w:rFonts w:ascii="楷体_GB2312" w:hAnsi="楷体" w:eastAsia="楷体_GB2312" w:cs="楷体"/>
          <w:sz w:val="32"/>
          <w:szCs w:val="32"/>
        </w:rPr>
      </w:pPr>
      <w:r>
        <w:rPr>
          <w:rFonts w:hint="eastAsia" w:ascii="楷体_GB2312" w:hAnsi="楷体" w:eastAsia="楷体_GB2312" w:cs="楷体"/>
          <w:sz w:val="32"/>
          <w:szCs w:val="32"/>
        </w:rPr>
        <w:t>提案</w:t>
      </w:r>
      <w:r>
        <w:rPr>
          <w:rFonts w:hint="eastAsia" w:ascii="楷体_GB2312" w:hAnsi="楷体" w:eastAsia="楷体_GB2312" w:cs="楷体"/>
          <w:bCs/>
          <w:sz w:val="32"/>
          <w:szCs w:val="32"/>
        </w:rPr>
        <w:t>名称：关于</w:t>
      </w:r>
      <w:r>
        <w:rPr>
          <w:rFonts w:hint="eastAsia" w:ascii="楷体_GB2312" w:hAnsi="方正小标宋简体" w:eastAsia="楷体_GB2312" w:cs="方正小标宋简体"/>
          <w:sz w:val="32"/>
          <w:szCs w:val="32"/>
        </w:rPr>
        <w:t>“</w:t>
      </w:r>
      <w:r>
        <w:rPr>
          <w:rFonts w:hint="eastAsia" w:ascii="楷体_GB2312" w:hAnsi="楷体" w:eastAsia="楷体_GB2312" w:cs="楷体"/>
          <w:bCs/>
          <w:sz w:val="32"/>
          <w:szCs w:val="32"/>
        </w:rPr>
        <w:t>锦中大街停车难</w:t>
      </w:r>
      <w:r>
        <w:rPr>
          <w:rFonts w:hint="eastAsia" w:ascii="楷体_GB2312" w:hAnsi="方正小标宋简体" w:eastAsia="楷体_GB2312" w:cs="方正小标宋简体"/>
          <w:sz w:val="32"/>
          <w:szCs w:val="32"/>
        </w:rPr>
        <w:t>”</w:t>
      </w:r>
      <w:r>
        <w:rPr>
          <w:rFonts w:hint="eastAsia" w:ascii="楷体_GB2312" w:hAnsi="楷体" w:eastAsia="楷体_GB2312" w:cs="楷体"/>
          <w:bCs/>
          <w:sz w:val="32"/>
          <w:szCs w:val="32"/>
        </w:rPr>
        <w:t>的提案</w:t>
      </w:r>
    </w:p>
    <w:p w14:paraId="5528108E">
      <w:pPr>
        <w:spacing w:line="600" w:lineRule="exact"/>
        <w:rPr>
          <w:rFonts w:ascii="楷体_GB2312" w:hAnsi="楷体" w:eastAsia="楷体_GB2312" w:cs="楷体"/>
          <w:sz w:val="32"/>
          <w:szCs w:val="32"/>
        </w:rPr>
      </w:pPr>
      <w:r>
        <w:rPr>
          <w:rFonts w:hint="eastAsia" w:ascii="楷体_GB2312" w:hAnsi="楷体" w:eastAsia="楷体_GB2312" w:cs="楷体"/>
          <w:sz w:val="32"/>
          <w:szCs w:val="32"/>
        </w:rPr>
        <w:t xml:space="preserve">提 案 </w:t>
      </w:r>
      <w:r>
        <w:rPr>
          <w:rFonts w:hint="eastAsia" w:ascii="楷体_GB2312" w:hAnsi="楷体" w:eastAsia="楷体_GB2312" w:cs="楷体"/>
          <w:bCs/>
          <w:sz w:val="32"/>
          <w:szCs w:val="32"/>
        </w:rPr>
        <w:t>人</w:t>
      </w:r>
      <w:r>
        <w:rPr>
          <w:rFonts w:hint="eastAsia" w:ascii="楷体_GB2312" w:hAnsi="楷体" w:eastAsia="楷体_GB2312" w:cs="楷体"/>
          <w:sz w:val="32"/>
          <w:szCs w:val="32"/>
        </w:rPr>
        <w:t>：</w:t>
      </w:r>
      <w:r>
        <w:rPr>
          <w:rFonts w:hint="eastAsia" w:ascii="楷体_GB2312" w:hAnsi="楷体" w:eastAsia="楷体_GB2312" w:cs="楷体"/>
          <w:bCs/>
          <w:sz w:val="32"/>
          <w:szCs w:val="32"/>
        </w:rPr>
        <w:t>刘晓东</w:t>
      </w:r>
    </w:p>
    <w:p w14:paraId="2357AB62">
      <w:pPr>
        <w:spacing w:line="600" w:lineRule="exact"/>
        <w:rPr>
          <w:rFonts w:ascii="楷体_GB2312" w:hAnsi="楷体" w:eastAsia="楷体_GB2312" w:cs="楷体"/>
          <w:bCs/>
          <w:sz w:val="32"/>
          <w:szCs w:val="32"/>
        </w:rPr>
      </w:pPr>
      <w:r>
        <w:rPr>
          <w:rFonts w:hint="eastAsia" w:ascii="楷体_GB2312" w:hAnsi="楷体" w:eastAsia="楷体_GB2312" w:cs="楷体"/>
          <w:bCs/>
          <w:sz w:val="32"/>
          <w:szCs w:val="32"/>
        </w:rPr>
        <w:t>联</w:t>
      </w:r>
      <w:r>
        <w:rPr>
          <w:rFonts w:hint="eastAsia" w:ascii="楷体_GB2312" w:hAnsi="楷体" w:eastAsia="楷体_GB2312" w:cs="楷体"/>
          <w:sz w:val="32"/>
          <w:szCs w:val="32"/>
        </w:rPr>
        <w:t>系</w:t>
      </w:r>
      <w:r>
        <w:rPr>
          <w:rFonts w:hint="eastAsia" w:ascii="楷体_GB2312" w:hAnsi="楷体" w:eastAsia="楷体_GB2312" w:cs="楷体"/>
          <w:bCs/>
          <w:sz w:val="32"/>
          <w:szCs w:val="32"/>
        </w:rPr>
        <w:t>方式：13948963857</w:t>
      </w:r>
    </w:p>
    <w:p w14:paraId="6ECBB1E9">
      <w:pPr>
        <w:spacing w:line="600" w:lineRule="exact"/>
        <w:rPr>
          <w:rFonts w:ascii="楷体_GB2312" w:hAnsi="楷体" w:eastAsia="楷体_GB2312" w:cs="楷体"/>
          <w:bCs/>
          <w:sz w:val="32"/>
          <w:szCs w:val="32"/>
        </w:rPr>
      </w:pPr>
      <w:r>
        <w:rPr>
          <w:rFonts w:hint="eastAsia" w:ascii="楷体_GB2312" w:hAnsi="楷体" w:eastAsia="楷体_GB2312" w:cs="楷体"/>
          <w:bCs/>
          <w:sz w:val="32"/>
          <w:szCs w:val="32"/>
        </w:rPr>
        <w:t>界    别：医药卫生</w:t>
      </w:r>
    </w:p>
    <w:p w14:paraId="6BEF0BCC">
      <w:pPr>
        <w:ind w:firstLine="880" w:firstLineChars="200"/>
        <w:rPr>
          <w:rFonts w:ascii="方正仿宋_GB2312" w:hAnsi="方正仿宋_GB2312" w:eastAsia="方正仿宋_GB2312" w:cs="方正仿宋_GB2312"/>
          <w:sz w:val="32"/>
          <w:szCs w:val="32"/>
        </w:rPr>
      </w:pPr>
      <w:r>
        <w:rPr>
          <w:rFonts w:hint="eastAsia" w:ascii="方正小标宋简体" w:hAnsi="方正小标宋简体" w:eastAsia="方正小标宋简体" w:cs="方正小标宋简体"/>
          <w:bCs/>
          <w:sz w:val="44"/>
          <w:szCs w:val="44"/>
        </w:rPr>
        <w:t xml:space="preserve">关于“锦中大街停车难”的提案       </w:t>
      </w:r>
    </w:p>
    <w:p w14:paraId="2B7A5F7F">
      <w:pPr>
        <w:rPr>
          <w:rFonts w:ascii="黑体" w:hAnsi="黑体" w:eastAsia="黑体" w:cs="黑体"/>
          <w:sz w:val="32"/>
          <w:szCs w:val="32"/>
        </w:rPr>
      </w:pPr>
      <w:r>
        <w:rPr>
          <w:rFonts w:hint="eastAsia" w:ascii="黑体" w:hAnsi="黑体" w:eastAsia="黑体" w:cs="黑体"/>
          <w:sz w:val="32"/>
          <w:szCs w:val="32"/>
        </w:rPr>
        <w:t>一、基本情况</w:t>
      </w:r>
    </w:p>
    <w:p w14:paraId="20321EC0">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随着我旗的发展和居民生活水平的提高，机动车数量持续快速增长，而我旗街道停车位数量已无法满足机动车停车数量，停车难拥堵等问题日益凸显，特别是锦中大街路段。因喀喇沁旗锦山中学，社区卫生服务中心坐落于此，车辆多，人流量大，特别是学生上学、患者就医体检及疫苗接种等，非机动车占用停车位，乱停乱放、引发交通拥堵等一系列问题，给学生上学，患者就医，疫苗接种和居民的日常出行带来极大不便及交通隐患，亟待解决。</w:t>
      </w:r>
    </w:p>
    <w:p w14:paraId="3D646665">
      <w:pPr>
        <w:rPr>
          <w:rFonts w:ascii="方正仿宋_GB2312" w:hAnsi="方正仿宋_GB2312" w:eastAsia="方正仿宋_GB2312" w:cs="方正仿宋_GB2312"/>
          <w:sz w:val="32"/>
          <w:szCs w:val="32"/>
        </w:rPr>
      </w:pPr>
      <w:r>
        <w:rPr>
          <w:rFonts w:hint="eastAsia" w:ascii="黑体" w:hAnsi="黑体" w:eastAsia="黑体" w:cs="黑体"/>
          <w:sz w:val="32"/>
          <w:szCs w:val="32"/>
        </w:rPr>
        <w:t>二、存在的问题</w:t>
      </w:r>
    </w:p>
    <w:p w14:paraId="3BC8DFB2">
      <w:pPr>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（一）</w:t>
      </w:r>
      <w:r>
        <w:rPr>
          <w:rFonts w:hint="eastAsia" w:ascii="楷体_GB2312" w:hAnsi="楷体" w:eastAsia="楷体_GB2312" w:cs="楷体"/>
          <w:bCs/>
          <w:sz w:val="32"/>
          <w:szCs w:val="32"/>
        </w:rPr>
        <w:t>停车设施供给不足.</w:t>
      </w:r>
      <w:r>
        <w:rPr>
          <w:rFonts w:hint="eastAsia" w:ascii="仿宋_GB2312" w:hAnsi="仿宋" w:eastAsia="仿宋_GB2312" w:cs="仿宋"/>
          <w:sz w:val="32"/>
          <w:szCs w:val="32"/>
        </w:rPr>
        <w:t>锦中大街街道面积较小，街道周边停车位数量有限较少，无法满足日益增长的车辆停放需求，供需严重失衡。</w:t>
      </w:r>
    </w:p>
    <w:p w14:paraId="2693BF29">
      <w:pPr>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（二）</w:t>
      </w:r>
      <w:r>
        <w:rPr>
          <w:rFonts w:hint="eastAsia" w:ascii="楷体_GB2312" w:hAnsi="楷体" w:eastAsia="楷体_GB2312" w:cs="楷体"/>
          <w:bCs/>
          <w:sz w:val="32"/>
          <w:szCs w:val="32"/>
        </w:rPr>
        <w:t>停车资源利用不充分</w:t>
      </w:r>
      <w:r>
        <w:rPr>
          <w:rFonts w:hint="eastAsia" w:ascii="楷体_GB2312" w:hAnsi="楷体" w:eastAsia="楷体_GB2312" w:cs="楷体"/>
          <w:sz w:val="32"/>
          <w:szCs w:val="32"/>
        </w:rPr>
        <w:t>.</w:t>
      </w:r>
      <w:r>
        <w:rPr>
          <w:rFonts w:hint="eastAsia" w:ascii="仿宋_GB2312" w:hAnsi="仿宋" w:eastAsia="仿宋_GB2312" w:cs="仿宋"/>
          <w:sz w:val="32"/>
          <w:szCs w:val="32"/>
        </w:rPr>
        <w:t>非机动车停车位大于机动车停车位，导致非机动车位闲置与机动车车辆无处停放的矛盾并存。而周边街道上车辆却在苦苦寻找车位，造成交通拥堵。</w:t>
      </w:r>
    </w:p>
    <w:p w14:paraId="0D015F9C">
      <w:pPr>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（三）</w:t>
      </w:r>
      <w:r>
        <w:rPr>
          <w:rFonts w:hint="eastAsia" w:ascii="楷体_GB2312" w:hAnsi="楷体" w:eastAsia="楷体_GB2312" w:cs="楷体"/>
          <w:bCs/>
          <w:sz w:val="32"/>
          <w:szCs w:val="32"/>
        </w:rPr>
        <w:t>交通管理执法有待加强.</w:t>
      </w:r>
      <w:r>
        <w:rPr>
          <w:rFonts w:hint="eastAsia" w:ascii="仿宋_GB2312" w:hAnsi="仿宋" w:eastAsia="仿宋_GB2312" w:cs="仿宋"/>
          <w:sz w:val="32"/>
          <w:szCs w:val="32"/>
        </w:rPr>
        <w:t>对于街道违法停车乱停乱放行为，监管执法力度不够，难以形成有效威慑，使得乱停乱放现象屡禁不止，进一步加剧停车难问题，降低了道路通行效率。</w:t>
      </w:r>
    </w:p>
    <w:p w14:paraId="422474A2">
      <w:pPr>
        <w:ind w:firstLine="640" w:firstLineChars="200"/>
        <w:rPr>
          <w:rFonts w:ascii="仿宋_GB2312" w:hAnsi="仿宋" w:eastAsia="仿宋_GB2312" w:cs="仿宋"/>
          <w:sz w:val="32"/>
          <w:szCs w:val="32"/>
        </w:rPr>
      </w:pPr>
      <w:r>
        <w:rPr>
          <w:rFonts w:hint="eastAsia" w:ascii="楷体_GB2312" w:hAnsi="楷体" w:eastAsia="楷体_GB2312" w:cs="楷体"/>
          <w:sz w:val="32"/>
          <w:szCs w:val="32"/>
        </w:rPr>
        <w:t>（四）</w:t>
      </w:r>
      <w:r>
        <w:rPr>
          <w:rFonts w:hint="eastAsia" w:ascii="楷体_GB2312" w:hAnsi="楷体" w:eastAsia="楷体_GB2312" w:cs="楷体"/>
          <w:bCs/>
          <w:sz w:val="32"/>
          <w:szCs w:val="32"/>
        </w:rPr>
        <w:t>非机动车乱摆乱放.</w:t>
      </w:r>
      <w:r>
        <w:rPr>
          <w:rFonts w:hint="eastAsia" w:ascii="仿宋_GB2312" w:hAnsi="仿宋" w:eastAsia="仿宋_GB2312" w:cs="仿宋"/>
          <w:sz w:val="32"/>
          <w:szCs w:val="32"/>
        </w:rPr>
        <w:t>大量非机动车辆占用机动车停车位，非机动车乱摆乱放，特别是学生上下学、大集期间，部分人员不注意交通规则，使之交通拥堵，易出现交通事故。</w:t>
      </w:r>
    </w:p>
    <w:p w14:paraId="2F13D8A4">
      <w:pPr>
        <w:rPr>
          <w:rFonts w:ascii="方正仿宋_GB2312" w:hAnsi="方正仿宋_GB2312" w:eastAsia="方正仿宋_GB2312" w:cs="方正仿宋_GB2312"/>
          <w:sz w:val="32"/>
          <w:szCs w:val="32"/>
        </w:rPr>
      </w:pPr>
      <w:r>
        <w:rPr>
          <w:rFonts w:hint="eastAsia" w:ascii="黑体" w:hAnsi="黑体" w:eastAsia="黑体" w:cs="黑体"/>
          <w:sz w:val="32"/>
          <w:szCs w:val="32"/>
        </w:rPr>
        <w:t>三、建议</w:t>
      </w:r>
    </w:p>
    <w:p w14:paraId="432B2620">
      <w:pPr>
        <w:ind w:firstLine="640" w:firstLineChars="200"/>
        <w:rPr>
          <w:rFonts w:ascii="仿宋_GB2312" w:hAnsi="仿宋" w:eastAsia="仿宋_GB2312" w:cs="仿宋"/>
          <w:b/>
          <w:bCs/>
          <w:sz w:val="32"/>
          <w:szCs w:val="32"/>
        </w:rPr>
      </w:pPr>
      <w:r>
        <w:rPr>
          <w:rFonts w:hint="eastAsia" w:ascii="楷体_GB2312" w:hAnsi="楷体" w:eastAsia="楷体_GB2312" w:cs="楷体"/>
          <w:sz w:val="32"/>
          <w:szCs w:val="32"/>
        </w:rPr>
        <w:t>（一）</w:t>
      </w:r>
      <w:r>
        <w:rPr>
          <w:rFonts w:hint="eastAsia" w:ascii="楷体_GB2312" w:hAnsi="楷体" w:eastAsia="楷体_GB2312" w:cs="楷体"/>
          <w:bCs/>
          <w:sz w:val="32"/>
          <w:szCs w:val="32"/>
        </w:rPr>
        <w:t>优化停车设施规划与建设.</w:t>
      </w:r>
      <w:r>
        <w:rPr>
          <w:rFonts w:hint="eastAsia" w:ascii="仿宋_GB2312" w:hAnsi="仿宋" w:eastAsia="仿宋_GB2312" w:cs="仿宋"/>
          <w:b/>
          <w:sz w:val="32"/>
          <w:szCs w:val="32"/>
        </w:rPr>
        <w:t>一是</w:t>
      </w:r>
      <w:r>
        <w:rPr>
          <w:rFonts w:hint="eastAsia" w:ascii="仿宋_GB2312" w:hAnsi="仿宋" w:eastAsia="仿宋_GB2312" w:cs="仿宋"/>
          <w:sz w:val="32"/>
          <w:szCs w:val="32"/>
        </w:rPr>
        <w:t>开展街道停车资源普查，根据实际需求合理增设停车位，如在有条件的路边施划平行式、斜列式停车位，利用街角、闲置空地等地段建设小型停车场等，充分挖掘空间利用潜力。</w:t>
      </w:r>
      <w:r>
        <w:rPr>
          <w:rFonts w:hint="eastAsia" w:ascii="仿宋" w:hAnsi="仿宋" w:eastAsia="仿宋" w:cs="仿宋"/>
          <w:b/>
          <w:sz w:val="32"/>
          <w:szCs w:val="32"/>
        </w:rPr>
        <w:t>二是</w:t>
      </w:r>
      <w:r>
        <w:rPr>
          <w:rFonts w:hint="eastAsia" w:ascii="仿宋" w:hAnsi="仿宋" w:eastAsia="仿宋" w:cs="仿宋"/>
          <w:sz w:val="32"/>
          <w:szCs w:val="32"/>
        </w:rPr>
        <w:t>建议政府可在锦中大街旗气象局院内利用闲置地段建设一处非机动车停车场，协调锦山中学要求学生的非机动车一律有序停放到气象局院内，能有效缓解锦中大街停车难及拥堵压力，也能有效预防交通事故的发生。</w:t>
      </w:r>
    </w:p>
    <w:p w14:paraId="169E9BB8">
      <w:pPr>
        <w:ind w:firstLine="640" w:firstLineChars="200"/>
        <w:rPr>
          <w:rFonts w:ascii="仿宋_GB2312" w:hAnsi="楷体" w:eastAsia="仿宋_GB2312" w:cs="楷体"/>
          <w:bCs/>
          <w:sz w:val="32"/>
          <w:szCs w:val="32"/>
        </w:rPr>
      </w:pPr>
      <w:r>
        <w:rPr>
          <w:rFonts w:hint="eastAsia" w:ascii="楷体_GB2312" w:hAnsi="楷体" w:eastAsia="楷体_GB2312" w:cs="楷体"/>
          <w:sz w:val="32"/>
          <w:szCs w:val="32"/>
        </w:rPr>
        <w:t>（二）加</w:t>
      </w:r>
      <w:r>
        <w:rPr>
          <w:rFonts w:hint="eastAsia" w:ascii="楷体_GB2312" w:hAnsi="楷体" w:eastAsia="楷体_GB2312" w:cs="楷体"/>
          <w:bCs/>
          <w:sz w:val="32"/>
          <w:szCs w:val="32"/>
        </w:rPr>
        <w:t>强交通监管与秩序整治。</w:t>
      </w:r>
      <w:r>
        <w:rPr>
          <w:rFonts w:hint="eastAsia" w:ascii="仿宋_GB2312" w:hAnsi="仿宋" w:eastAsia="仿宋_GB2312" w:cs="仿宋"/>
          <w:b/>
          <w:sz w:val="32"/>
          <w:szCs w:val="32"/>
        </w:rPr>
        <w:t>一是</w:t>
      </w:r>
      <w:r>
        <w:rPr>
          <w:rFonts w:hint="eastAsia" w:ascii="仿宋_GB2312" w:hAnsi="仿宋" w:eastAsia="仿宋_GB2312" w:cs="仿宋"/>
          <w:sz w:val="32"/>
          <w:szCs w:val="32"/>
        </w:rPr>
        <w:t>加大对街道违法停车行为的执法力度，增加监管巡逻频次，严格依法处罚，确保道路畅通。</w:t>
      </w:r>
      <w:r>
        <w:rPr>
          <w:rFonts w:hint="eastAsia" w:ascii="仿宋_GB2312" w:hAnsi="仿宋" w:eastAsia="仿宋_GB2312" w:cs="仿宋"/>
          <w:b/>
          <w:sz w:val="32"/>
          <w:szCs w:val="32"/>
        </w:rPr>
        <w:t>二是</w:t>
      </w:r>
      <w:r>
        <w:rPr>
          <w:rFonts w:hint="eastAsia" w:ascii="仿宋_GB2312" w:hAnsi="仿宋" w:eastAsia="仿宋_GB2312" w:cs="仿宋"/>
          <w:sz w:val="32"/>
          <w:szCs w:val="32"/>
        </w:rPr>
        <w:t>加强交通安全宣传教育，通过多种渠道向市民普及停车规范和交通安全知识，增强市民的文明停车意识，营造良好的停车秩序氛围。</w:t>
      </w:r>
    </w:p>
    <w:p w14:paraId="35E23996">
      <w:pPr>
        <w:rPr>
          <w:rFonts w:ascii="仿宋_GB2312" w:hAnsi="仿宋" w:eastAsia="仿宋_GB2312" w:cs="仿宋"/>
          <w:sz w:val="32"/>
          <w:szCs w:val="32"/>
        </w:rPr>
      </w:pPr>
      <w:r>
        <w:rPr>
          <w:rFonts w:hint="eastAsia" w:ascii="仿宋_GB2312" w:hAnsi="仿宋" w:eastAsia="仿宋_GB2312" w:cs="仿宋"/>
          <w:sz w:val="32"/>
          <w:szCs w:val="32"/>
        </w:rPr>
        <w:t xml:space="preserve">    解决停车难问题迫在眉睫且势在必行，需整合各方资源，凝聚各界力量，通过科学规划停车设施、优化管理模式、加强执法监督等各项举措，逐步缓解停车压力，改善城市交通秩序，让城市的大街小巷不再因停车难而拥堵混乱，提升居民出行的满意度和幸福感，还居民一个顺畅的出行空间。</w:t>
      </w:r>
    </w:p>
    <w:p w14:paraId="6F31C021">
      <w:pPr>
        <w:spacing w:line="600" w:lineRule="exact"/>
        <w:rPr>
          <w:rFonts w:ascii="方正仿宋_GB18030" w:hAnsi="方正仿宋_GB18030" w:eastAsia="方正仿宋_GB18030" w:cs="方正仿宋_GB18030"/>
          <w:sz w:val="32"/>
          <w:szCs w:val="32"/>
        </w:rPr>
      </w:pPr>
    </w:p>
    <w:p w14:paraId="6BCD93A8">
      <w:pPr>
        <w:rPr>
          <w:rFonts w:ascii="方正仿宋_GB18030" w:hAnsi="方正仿宋_GB18030" w:eastAsia="方正仿宋_GB18030" w:cs="方正仿宋_GB18030"/>
          <w:sz w:val="32"/>
          <w:szCs w:val="32"/>
        </w:rPr>
      </w:pPr>
    </w:p>
    <w:p w14:paraId="648AFE0C">
      <w:pPr>
        <w:spacing w:line="560" w:lineRule="exact"/>
        <w:rPr>
          <w:rFonts w:ascii="楷体_GB2312" w:hAnsi="仿宋_GB2312" w:eastAsia="楷体_GB2312" w:cs="仿宋_GB2312"/>
          <w:sz w:val="32"/>
          <w:szCs w:val="32"/>
        </w:rPr>
      </w:pPr>
    </w:p>
    <w:p w14:paraId="5254EFBA">
      <w:pPr>
        <w:spacing w:line="560" w:lineRule="exact"/>
        <w:rPr>
          <w:rFonts w:ascii="楷体_GB2312" w:hAnsi="仿宋_GB2312" w:eastAsia="楷体_GB2312" w:cs="仿宋_GB2312"/>
          <w:sz w:val="32"/>
          <w:szCs w:val="32"/>
        </w:rPr>
      </w:pPr>
    </w:p>
    <w:p w14:paraId="7FBA0F35">
      <w:pPr>
        <w:spacing w:line="560" w:lineRule="exact"/>
        <w:rPr>
          <w:rFonts w:ascii="楷体_GB2312" w:hAnsi="仿宋_GB2312" w:eastAsia="楷体_GB2312" w:cs="仿宋_GB2312"/>
          <w:sz w:val="32"/>
          <w:szCs w:val="32"/>
        </w:rPr>
      </w:pPr>
    </w:p>
    <w:p w14:paraId="361AFE82">
      <w:pPr>
        <w:spacing w:line="560" w:lineRule="exact"/>
        <w:rPr>
          <w:rFonts w:ascii="楷体_GB2312" w:hAnsi="仿宋_GB2312" w:eastAsia="楷体_GB2312" w:cs="仿宋_GB2312"/>
          <w:sz w:val="32"/>
          <w:szCs w:val="32"/>
        </w:rPr>
      </w:pPr>
    </w:p>
    <w:p w14:paraId="2FE72B09">
      <w:pPr>
        <w:spacing w:line="560" w:lineRule="exact"/>
        <w:rPr>
          <w:rFonts w:ascii="楷体_GB2312" w:hAnsi="仿宋_GB2312" w:eastAsia="楷体_GB2312" w:cs="仿宋_GB2312"/>
          <w:sz w:val="32"/>
          <w:szCs w:val="32"/>
        </w:rPr>
      </w:pPr>
    </w:p>
    <w:p w14:paraId="0ED5769F">
      <w:pPr>
        <w:spacing w:line="560" w:lineRule="exact"/>
        <w:rPr>
          <w:rFonts w:ascii="楷体_GB2312" w:hAnsi="仿宋_GB2312" w:eastAsia="楷体_GB2312" w:cs="仿宋_GB2312"/>
          <w:sz w:val="32"/>
          <w:szCs w:val="32"/>
        </w:rPr>
      </w:pPr>
    </w:p>
    <w:p w14:paraId="1DB3A860">
      <w:pPr>
        <w:spacing w:line="560" w:lineRule="exact"/>
        <w:rPr>
          <w:rFonts w:ascii="楷体_GB2312" w:hAnsi="仿宋_GB2312" w:eastAsia="楷体_GB2312" w:cs="仿宋_GB2312"/>
          <w:sz w:val="32"/>
          <w:szCs w:val="32"/>
        </w:rPr>
      </w:pPr>
    </w:p>
    <w:p w14:paraId="7F7B18A9">
      <w:pPr>
        <w:spacing w:line="560" w:lineRule="exact"/>
        <w:rPr>
          <w:rFonts w:ascii="楷体_GB2312" w:hAnsi="仿宋_GB2312" w:eastAsia="楷体_GB2312" w:cs="仿宋_GB2312"/>
          <w:sz w:val="32"/>
          <w:szCs w:val="32"/>
        </w:rPr>
      </w:pPr>
    </w:p>
    <w:p w14:paraId="5E0DB1A8">
      <w:pPr>
        <w:spacing w:line="560" w:lineRule="exact"/>
        <w:rPr>
          <w:rFonts w:ascii="楷体_GB2312" w:hAnsi="仿宋_GB2312" w:eastAsia="楷体_GB2312" w:cs="仿宋_GB2312"/>
          <w:sz w:val="32"/>
          <w:szCs w:val="32"/>
        </w:rPr>
      </w:pPr>
    </w:p>
    <w:p w14:paraId="50735728">
      <w:pPr>
        <w:spacing w:line="560" w:lineRule="exact"/>
        <w:rPr>
          <w:rFonts w:ascii="楷体_GB2312" w:hAnsi="仿宋_GB2312" w:eastAsia="楷体_GB2312" w:cs="仿宋_GB2312"/>
          <w:sz w:val="32"/>
          <w:szCs w:val="32"/>
        </w:rPr>
      </w:pPr>
    </w:p>
    <w:p w14:paraId="4A1102A8">
      <w:pPr>
        <w:spacing w:line="560" w:lineRule="exact"/>
        <w:rPr>
          <w:rFonts w:ascii="楷体_GB2312" w:hAnsi="仿宋_GB2312" w:eastAsia="楷体_GB2312" w:cs="仿宋_GB2312"/>
          <w:sz w:val="32"/>
          <w:szCs w:val="32"/>
        </w:rPr>
      </w:pPr>
    </w:p>
    <w:p w14:paraId="71D4DA18">
      <w:pPr>
        <w:spacing w:line="560" w:lineRule="exact"/>
        <w:rPr>
          <w:rFonts w:ascii="楷体_GB2312" w:hAnsi="仿宋_GB2312" w:eastAsia="楷体_GB2312" w:cs="仿宋_GB2312"/>
          <w:sz w:val="32"/>
          <w:szCs w:val="32"/>
        </w:rPr>
      </w:pPr>
    </w:p>
    <w:p w14:paraId="237F0CAC">
      <w:pPr>
        <w:spacing w:line="560" w:lineRule="exact"/>
        <w:rPr>
          <w:rFonts w:ascii="楷体_GB2312" w:hAnsi="仿宋_GB2312" w:eastAsia="楷体_GB2312" w:cs="仿宋_GB2312"/>
          <w:sz w:val="32"/>
          <w:szCs w:val="32"/>
        </w:rPr>
      </w:pPr>
    </w:p>
    <w:p w14:paraId="0719609D">
      <w:pPr>
        <w:spacing w:line="560" w:lineRule="exact"/>
        <w:rPr>
          <w:rFonts w:ascii="楷体_GB2312" w:hAnsi="仿宋_GB2312" w:eastAsia="楷体_GB2312" w:cs="仿宋_GB2312"/>
          <w:sz w:val="32"/>
          <w:szCs w:val="32"/>
        </w:rPr>
      </w:pPr>
    </w:p>
    <w:p w14:paraId="06EA8E3C">
      <w:pPr>
        <w:spacing w:line="560" w:lineRule="exact"/>
        <w:rPr>
          <w:rFonts w:ascii="楷体_GB2312" w:hAnsi="仿宋_GB2312" w:eastAsia="楷体_GB2312" w:cs="仿宋_GB2312"/>
          <w:sz w:val="32"/>
          <w:szCs w:val="32"/>
        </w:rPr>
      </w:pPr>
    </w:p>
    <w:p w14:paraId="6B12C386">
      <w:pPr>
        <w:spacing w:line="560" w:lineRule="exact"/>
        <w:rPr>
          <w:rFonts w:ascii="楷体_GB2312" w:hAnsi="仿宋_GB2312" w:eastAsia="楷体_GB2312" w:cs="仿宋_GB2312"/>
          <w:sz w:val="32"/>
          <w:szCs w:val="32"/>
        </w:rPr>
      </w:pPr>
    </w:p>
    <w:p w14:paraId="57A9BDB1">
      <w:pPr>
        <w:spacing w:line="560" w:lineRule="exact"/>
        <w:rPr>
          <w:rFonts w:ascii="楷体_GB2312" w:hAnsi="仿宋_GB2312" w:eastAsia="楷体_GB2312" w:cs="仿宋_GB2312"/>
          <w:sz w:val="32"/>
          <w:szCs w:val="32"/>
        </w:rPr>
      </w:pPr>
    </w:p>
    <w:p w14:paraId="413DE315">
      <w:pPr>
        <w:spacing w:line="560" w:lineRule="exact"/>
        <w:rPr>
          <w:rFonts w:ascii="楷体_GB2312" w:hAnsi="仿宋_GB2312" w:eastAsia="楷体_GB2312" w:cs="仿宋_GB2312"/>
          <w:sz w:val="32"/>
          <w:szCs w:val="32"/>
        </w:rPr>
      </w:pPr>
      <w:r>
        <w:rPr>
          <w:rFonts w:hint="eastAsia" w:ascii="楷体_GB2312" w:hAnsi="仿宋_GB2312" w:eastAsia="楷体_GB2312" w:cs="仿宋_GB2312"/>
          <w:sz w:val="32"/>
          <w:szCs w:val="32"/>
        </w:rPr>
        <w:t>提案编号：032</w:t>
      </w:r>
    </w:p>
    <w:p w14:paraId="007D1597">
      <w:pPr>
        <w:spacing w:line="560" w:lineRule="exact"/>
        <w:ind w:left="1600" w:hanging="1600" w:hangingChars="500"/>
        <w:rPr>
          <w:rFonts w:ascii="楷体_GB2312" w:hAnsi="仿宋_GB2312" w:eastAsia="楷体_GB2312" w:cs="仿宋_GB2312"/>
          <w:sz w:val="32"/>
          <w:szCs w:val="32"/>
        </w:rPr>
      </w:pPr>
      <w:r>
        <w:rPr>
          <w:rFonts w:hint="eastAsia" w:ascii="楷体_GB2312" w:hAnsi="仿宋_GB2312" w:eastAsia="楷体_GB2312" w:cs="仿宋_GB2312"/>
          <w:sz w:val="32"/>
          <w:szCs w:val="32"/>
        </w:rPr>
        <w:t>提案名称：关于“统筹优化课间活动 释放校园新活力”的提案</w:t>
      </w:r>
    </w:p>
    <w:p w14:paraId="503C43EE">
      <w:pPr>
        <w:spacing w:line="560" w:lineRule="exact"/>
        <w:rPr>
          <w:rFonts w:ascii="楷体_GB2312" w:hAnsi="仿宋_GB2312" w:eastAsia="楷体_GB2312" w:cs="仿宋_GB2312"/>
          <w:sz w:val="32"/>
          <w:szCs w:val="32"/>
        </w:rPr>
      </w:pPr>
      <w:r>
        <w:rPr>
          <w:rFonts w:hint="eastAsia" w:ascii="楷体_GB2312" w:hAnsi="仿宋_GB2312" w:eastAsia="楷体_GB2312" w:cs="仿宋_GB2312"/>
          <w:sz w:val="32"/>
          <w:szCs w:val="32"/>
        </w:rPr>
        <w:t>提 案 人：张蕾</w:t>
      </w:r>
    </w:p>
    <w:p w14:paraId="1A26F83B">
      <w:pPr>
        <w:spacing w:line="560" w:lineRule="exact"/>
        <w:rPr>
          <w:rFonts w:ascii="楷体_GB2312" w:hAnsi="仿宋_GB2312" w:eastAsia="楷体_GB2312" w:cs="仿宋_GB2312"/>
          <w:sz w:val="32"/>
          <w:szCs w:val="32"/>
        </w:rPr>
      </w:pPr>
      <w:r>
        <w:rPr>
          <w:rFonts w:hint="eastAsia" w:ascii="楷体_GB2312" w:hAnsi="仿宋_GB2312" w:eastAsia="楷体_GB2312" w:cs="仿宋_GB2312"/>
          <w:sz w:val="32"/>
          <w:szCs w:val="32"/>
        </w:rPr>
        <w:t>联系方式：13847665150</w:t>
      </w:r>
    </w:p>
    <w:p w14:paraId="1CB58AEF">
      <w:pPr>
        <w:spacing w:line="560" w:lineRule="exact"/>
        <w:rPr>
          <w:rFonts w:ascii="楷体_GB2312" w:hAnsi="楷体_GB2312" w:eastAsia="楷体_GB2312" w:cs="楷体_GB2312"/>
          <w:sz w:val="32"/>
          <w:szCs w:val="32"/>
        </w:rPr>
      </w:pPr>
      <w:r>
        <w:rPr>
          <w:rFonts w:hint="eastAsia" w:ascii="楷体_GB2312" w:hAnsi="仿宋_GB2312" w:eastAsia="楷体_GB2312" w:cs="仿宋_GB2312"/>
          <w:sz w:val="32"/>
          <w:szCs w:val="32"/>
        </w:rPr>
        <w:t>界    别：中国共产主义青年团</w:t>
      </w:r>
    </w:p>
    <w:p w14:paraId="71C98B15">
      <w:pPr>
        <w:spacing w:line="560" w:lineRule="exact"/>
        <w:jc w:val="center"/>
        <w:rPr>
          <w:rFonts w:asciiTheme="majorEastAsia" w:hAnsiTheme="majorEastAsia" w:eastAsiaTheme="majorEastAsia" w:cstheme="majorEastAsia"/>
          <w:sz w:val="32"/>
          <w:szCs w:val="32"/>
        </w:rPr>
      </w:pPr>
    </w:p>
    <w:p w14:paraId="6B18EF3C">
      <w:pPr>
        <w:spacing w:line="560" w:lineRule="exact"/>
        <w:jc w:val="center"/>
        <w:rPr>
          <w:rFonts w:ascii="方正小标宋简体" w:hAnsi="黑体" w:eastAsia="方正小标宋简体" w:cs="黑体"/>
          <w:sz w:val="44"/>
          <w:szCs w:val="44"/>
        </w:rPr>
      </w:pPr>
      <w:r>
        <w:rPr>
          <w:rFonts w:hint="eastAsia" w:ascii="方正小标宋简体" w:hAnsi="黑体" w:eastAsia="方正小标宋简体" w:cs="黑体"/>
          <w:sz w:val="44"/>
          <w:szCs w:val="44"/>
        </w:rPr>
        <w:t>关于“统筹优化课间活动 释放校园新活力”的提案</w:t>
      </w:r>
    </w:p>
    <w:p w14:paraId="3295C6EB">
      <w:pPr>
        <w:spacing w:line="560" w:lineRule="exact"/>
        <w:rPr>
          <w:rFonts w:ascii="黑体" w:hAnsi="黑体" w:eastAsia="黑体" w:cs="黑体"/>
          <w:sz w:val="32"/>
          <w:szCs w:val="32"/>
        </w:rPr>
      </w:pPr>
    </w:p>
    <w:p w14:paraId="190A1085">
      <w:pPr>
        <w:pStyle w:val="25"/>
        <w:numPr>
          <w:ilvl w:val="0"/>
          <w:numId w:val="9"/>
        </w:numPr>
        <w:spacing w:line="560" w:lineRule="exact"/>
        <w:ind w:firstLineChars="0"/>
        <w:rPr>
          <w:rFonts w:ascii="黑体" w:hAnsi="黑体" w:eastAsia="黑体" w:cs="黑体"/>
          <w:sz w:val="32"/>
          <w:szCs w:val="32"/>
        </w:rPr>
      </w:pPr>
      <w:r>
        <w:rPr>
          <w:rFonts w:hint="eastAsia" w:ascii="黑体" w:hAnsi="黑体" w:eastAsia="黑体" w:cs="黑体"/>
          <w:sz w:val="32"/>
          <w:szCs w:val="32"/>
        </w:rPr>
        <w:t>基本情况</w:t>
      </w:r>
    </w:p>
    <w:p w14:paraId="216E37F2">
      <w:pPr>
        <w:spacing w:line="560" w:lineRule="exact"/>
        <w:ind w:left="640" w:firstLine="640" w:firstLineChars="200"/>
        <w:rPr>
          <w:rFonts w:ascii="仿宋_GB2312" w:eastAsia="仿宋_GB2312"/>
          <w:sz w:val="32"/>
          <w:szCs w:val="32"/>
        </w:rPr>
      </w:pPr>
      <w:r>
        <w:rPr>
          <w:rFonts w:hint="eastAsia" w:ascii="仿宋_GB2312" w:eastAsia="仿宋_GB2312"/>
          <w:sz w:val="32"/>
          <w:szCs w:val="32"/>
        </w:rPr>
        <w:t>在当前教育体系中，课间活动作为连接各教学环节的“纽带”，其重要性不容忽视。然而，传统课间活动往往时间短、内容单一，难以满足学生多样化的需求。随着“双减”政策的深入实施和基础教育“规范管理年”行动要求的落实，对义务教育学校课间活动进行优化统筹，已成为提升学生身心健康、释放校园活力的重要途径。</w:t>
      </w:r>
    </w:p>
    <w:p w14:paraId="0559196B">
      <w:pPr>
        <w:pStyle w:val="25"/>
        <w:numPr>
          <w:ilvl w:val="0"/>
          <w:numId w:val="9"/>
        </w:numPr>
        <w:spacing w:line="560" w:lineRule="exact"/>
        <w:ind w:firstLineChars="0"/>
        <w:rPr>
          <w:rFonts w:ascii="黑体" w:hAnsi="黑体" w:eastAsia="黑体" w:cs="黑体"/>
          <w:sz w:val="32"/>
          <w:szCs w:val="32"/>
        </w:rPr>
      </w:pPr>
      <w:r>
        <w:rPr>
          <w:rFonts w:hint="eastAsia" w:ascii="黑体" w:hAnsi="黑体" w:eastAsia="黑体" w:cs="黑体"/>
          <w:sz w:val="32"/>
          <w:szCs w:val="32"/>
        </w:rPr>
        <w:t>存在问题</w:t>
      </w:r>
    </w:p>
    <w:p w14:paraId="79AA0FED">
      <w:pPr>
        <w:spacing w:line="560" w:lineRule="exact"/>
        <w:ind w:firstLine="643" w:firstLineChars="200"/>
        <w:rPr>
          <w:rFonts w:ascii="仿宋_GB2312" w:eastAsia="仿宋_GB2312"/>
          <w:sz w:val="32"/>
          <w:szCs w:val="32"/>
        </w:rPr>
      </w:pPr>
      <w:r>
        <w:rPr>
          <w:rFonts w:hint="eastAsia" w:ascii="仿宋_GB2312" w:eastAsia="仿宋_GB2312"/>
          <w:b/>
          <w:sz w:val="32"/>
          <w:szCs w:val="32"/>
        </w:rPr>
        <w:t>1、课间时间短：</w:t>
      </w:r>
      <w:r>
        <w:rPr>
          <w:rFonts w:hint="eastAsia" w:ascii="仿宋_GB2312" w:eastAsia="仿宋_GB2312"/>
          <w:sz w:val="32"/>
          <w:szCs w:val="32"/>
        </w:rPr>
        <w:t>传统课间时间通常为10分钟，难以满足学生放松身心、适量运动的需求。</w:t>
      </w:r>
    </w:p>
    <w:p w14:paraId="67B556E8">
      <w:pPr>
        <w:spacing w:line="560" w:lineRule="exact"/>
        <w:ind w:firstLine="643" w:firstLineChars="200"/>
        <w:rPr>
          <w:rFonts w:ascii="仿宋_GB2312" w:eastAsia="仿宋_GB2312"/>
          <w:sz w:val="32"/>
          <w:szCs w:val="32"/>
        </w:rPr>
      </w:pPr>
      <w:r>
        <w:rPr>
          <w:rFonts w:hint="eastAsia" w:ascii="仿宋_GB2312" w:eastAsia="仿宋_GB2312"/>
          <w:b/>
          <w:sz w:val="32"/>
          <w:szCs w:val="32"/>
        </w:rPr>
        <w:t>2、活动内容单一：</w:t>
      </w:r>
      <w:r>
        <w:rPr>
          <w:rFonts w:hint="eastAsia" w:ascii="仿宋_GB2312" w:eastAsia="仿宋_GB2312"/>
          <w:sz w:val="32"/>
          <w:szCs w:val="32"/>
        </w:rPr>
        <w:t>课间活动往往以简单的游戏或自由活动为主，缺乏系统性和多样性。</w:t>
      </w:r>
    </w:p>
    <w:p w14:paraId="17703B8D">
      <w:pPr>
        <w:spacing w:line="560" w:lineRule="exact"/>
        <w:ind w:firstLine="643" w:firstLineChars="200"/>
        <w:rPr>
          <w:rFonts w:ascii="仿宋_GB2312" w:eastAsia="仿宋_GB2312"/>
          <w:sz w:val="32"/>
          <w:szCs w:val="32"/>
        </w:rPr>
      </w:pPr>
      <w:r>
        <w:rPr>
          <w:rFonts w:hint="eastAsia" w:ascii="仿宋_GB2312" w:eastAsia="仿宋_GB2312"/>
          <w:b/>
          <w:sz w:val="32"/>
          <w:szCs w:val="32"/>
        </w:rPr>
        <w:t>3、管理不规范：</w:t>
      </w:r>
      <w:r>
        <w:rPr>
          <w:rFonts w:hint="eastAsia" w:ascii="仿宋_GB2312" w:eastAsia="仿宋_GB2312"/>
          <w:sz w:val="32"/>
          <w:szCs w:val="32"/>
        </w:rPr>
        <w:t>部分教师存在拖堂现象，挤占学生课间休息时间；同时，对学生课间活动的约束过多，限制了学生的自由发展。</w:t>
      </w:r>
    </w:p>
    <w:p w14:paraId="00EA089B">
      <w:pPr>
        <w:spacing w:line="560" w:lineRule="exact"/>
        <w:ind w:firstLine="643" w:firstLineChars="200"/>
        <w:rPr>
          <w:rFonts w:ascii="仿宋_GB2312" w:hAnsi="仿宋_GB2312" w:eastAsia="仿宋_GB2312" w:cs="仿宋_GB2312"/>
          <w:sz w:val="32"/>
          <w:szCs w:val="32"/>
        </w:rPr>
      </w:pPr>
      <w:r>
        <w:rPr>
          <w:rFonts w:hint="eastAsia" w:ascii="仿宋_GB2312" w:eastAsia="仿宋_GB2312"/>
          <w:b/>
          <w:sz w:val="32"/>
          <w:szCs w:val="32"/>
        </w:rPr>
        <w:t>4、资源利用不足：</w:t>
      </w:r>
      <w:r>
        <w:rPr>
          <w:rFonts w:hint="eastAsia" w:ascii="仿宋_GB2312" w:eastAsia="仿宋_GB2312"/>
          <w:sz w:val="32"/>
          <w:szCs w:val="32"/>
        </w:rPr>
        <w:t>学校对课间活动所需的场地、器材等资源利用不充分，导致课间活动效果不佳。</w:t>
      </w:r>
    </w:p>
    <w:p w14:paraId="251CC13C">
      <w:pPr>
        <w:spacing w:line="560" w:lineRule="exact"/>
        <w:ind w:firstLine="640"/>
        <w:rPr>
          <w:rFonts w:ascii="黑体" w:hAnsi="黑体" w:eastAsia="黑体" w:cs="黑体"/>
          <w:sz w:val="32"/>
          <w:szCs w:val="32"/>
        </w:rPr>
      </w:pPr>
      <w:r>
        <w:rPr>
          <w:rFonts w:hint="eastAsia" w:ascii="黑体" w:hAnsi="黑体" w:eastAsia="黑体" w:cs="黑体"/>
          <w:sz w:val="32"/>
          <w:szCs w:val="32"/>
        </w:rPr>
        <w:t>三、建议</w:t>
      </w:r>
    </w:p>
    <w:p w14:paraId="569CC6D1">
      <w:pPr>
        <w:numPr>
          <w:ilvl w:val="0"/>
          <w:numId w:val="10"/>
        </w:numPr>
        <w:spacing w:line="560" w:lineRule="exact"/>
        <w:ind w:firstLine="643" w:firstLineChars="200"/>
        <w:rPr>
          <w:rFonts w:ascii="仿宋_GB2312" w:eastAsia="仿宋_GB2312"/>
          <w:sz w:val="32"/>
          <w:szCs w:val="32"/>
        </w:rPr>
      </w:pPr>
      <w:r>
        <w:rPr>
          <w:rFonts w:hint="eastAsia" w:ascii="仿宋_GB2312" w:eastAsia="仿宋_GB2312"/>
          <w:b/>
          <w:sz w:val="32"/>
          <w:szCs w:val="32"/>
        </w:rPr>
        <w:t>延长课间时间。</w:t>
      </w:r>
      <w:r>
        <w:rPr>
          <w:rFonts w:hint="eastAsia" w:ascii="仿宋_GB2312" w:eastAsia="仿宋_GB2312"/>
          <w:sz w:val="32"/>
          <w:szCs w:val="32"/>
        </w:rPr>
        <w:t>将传统10分钟的课间时间延长至15分钟，为学生提供更加从容的课间休息和活动时间。这有助于学生在课间得到充分放松，为后续学习做好身心准备。</w:t>
      </w:r>
    </w:p>
    <w:p w14:paraId="29B4199E">
      <w:pPr>
        <w:spacing w:line="560" w:lineRule="exact"/>
        <w:ind w:firstLine="643" w:firstLineChars="200"/>
        <w:rPr>
          <w:rFonts w:ascii="仿宋_GB2312" w:eastAsia="仿宋_GB2312"/>
          <w:sz w:val="32"/>
          <w:szCs w:val="32"/>
        </w:rPr>
      </w:pPr>
      <w:r>
        <w:rPr>
          <w:rFonts w:hint="eastAsia" w:ascii="仿宋_GB2312" w:eastAsia="仿宋_GB2312"/>
          <w:b/>
          <w:sz w:val="32"/>
          <w:szCs w:val="32"/>
        </w:rPr>
        <w:t>2、丰富课间内容。</w:t>
      </w:r>
      <w:r>
        <w:rPr>
          <w:rFonts w:hint="eastAsia" w:ascii="仿宋_GB2312" w:eastAsia="仿宋_GB2312"/>
          <w:sz w:val="32"/>
          <w:szCs w:val="32"/>
        </w:rPr>
        <w:t>设置多样化课间活动：结合学生年龄特点和兴趣爱好，设置多样化的课间活动，如体育游戏、益智游戏、艺术欣赏等。</w:t>
      </w:r>
    </w:p>
    <w:p w14:paraId="2F0644FE">
      <w:pPr>
        <w:spacing w:line="560" w:lineRule="exact"/>
        <w:ind w:firstLine="640" w:firstLineChars="200"/>
        <w:rPr>
          <w:rFonts w:ascii="仿宋_GB2312" w:eastAsia="仿宋_GB2312"/>
          <w:sz w:val="32"/>
          <w:szCs w:val="32"/>
        </w:rPr>
      </w:pPr>
      <w:r>
        <w:rPr>
          <w:rFonts w:hint="eastAsia" w:ascii="仿宋_GB2312" w:eastAsia="仿宋_GB2312"/>
          <w:sz w:val="32"/>
          <w:szCs w:val="32"/>
        </w:rPr>
        <w:t>引入民间传统体育文化活动：鼓励学生积极参与传统体育文化活动，比如“跳房子”“跳皮筋”“踢毽子”“武术操”“射箭”“滚铁环”“跳水牛”等等，既丰富课间内容，又传承和弘扬地方文化。</w:t>
      </w:r>
    </w:p>
    <w:p w14:paraId="406F87A3">
      <w:pPr>
        <w:spacing w:line="560" w:lineRule="exact"/>
        <w:ind w:firstLine="640" w:firstLineChars="200"/>
        <w:rPr>
          <w:rFonts w:ascii="仿宋_GB2312" w:eastAsia="仿宋_GB2312"/>
          <w:sz w:val="32"/>
          <w:szCs w:val="32"/>
        </w:rPr>
      </w:pPr>
      <w:r>
        <w:rPr>
          <w:rFonts w:hint="eastAsia" w:ascii="仿宋_GB2312" w:eastAsia="仿宋_GB2312"/>
          <w:sz w:val="32"/>
          <w:szCs w:val="32"/>
        </w:rPr>
        <w:t>开展大课间体育活动：每天安排不少于30分钟的大课间体育活动，确保学生每天校内校外综合体育活动时间不低于2小时。</w:t>
      </w:r>
    </w:p>
    <w:p w14:paraId="0ACB963E">
      <w:pPr>
        <w:spacing w:line="560" w:lineRule="exact"/>
        <w:ind w:firstLine="643" w:firstLineChars="200"/>
        <w:rPr>
          <w:rFonts w:ascii="仿宋_GB2312" w:eastAsia="仿宋_GB2312"/>
          <w:sz w:val="32"/>
          <w:szCs w:val="32"/>
        </w:rPr>
      </w:pPr>
      <w:r>
        <w:rPr>
          <w:rFonts w:hint="eastAsia" w:ascii="仿宋_GB2312" w:eastAsia="仿宋_GB2312"/>
          <w:b/>
          <w:sz w:val="32"/>
          <w:szCs w:val="32"/>
        </w:rPr>
        <w:t>3、创新课间形式。</w:t>
      </w:r>
      <w:r>
        <w:rPr>
          <w:rFonts w:hint="eastAsia" w:ascii="仿宋_GB2312" w:eastAsia="仿宋_GB2312"/>
          <w:sz w:val="32"/>
          <w:szCs w:val="32"/>
        </w:rPr>
        <w:t>实施“一校一策”：各学校根据自身实际情况，制定符合校情、学情的课间活动优化方案，实现个性化发展。</w:t>
      </w:r>
    </w:p>
    <w:p w14:paraId="61378F06">
      <w:pPr>
        <w:spacing w:line="560" w:lineRule="exact"/>
        <w:ind w:firstLine="640" w:firstLineChars="200"/>
        <w:rPr>
          <w:rFonts w:ascii="仿宋_GB2312" w:eastAsia="仿宋_GB2312"/>
          <w:sz w:val="32"/>
          <w:szCs w:val="32"/>
        </w:rPr>
      </w:pPr>
      <w:r>
        <w:rPr>
          <w:rFonts w:hint="eastAsia" w:ascii="仿宋_GB2312" w:eastAsia="仿宋_GB2312"/>
          <w:sz w:val="32"/>
          <w:szCs w:val="32"/>
        </w:rPr>
        <w:t>教师参与课间活动：鼓励教师从“课间活动的管理者”转变为“课间活动的共同参与者”，与学生一起参与课间活动，增进师生关系。</w:t>
      </w:r>
    </w:p>
    <w:p w14:paraId="561B5C71">
      <w:pPr>
        <w:spacing w:line="560" w:lineRule="exact"/>
        <w:ind w:firstLine="640" w:firstLineChars="200"/>
        <w:rPr>
          <w:rFonts w:ascii="仿宋_GB2312" w:eastAsia="仿宋_GB2312"/>
          <w:sz w:val="32"/>
          <w:szCs w:val="32"/>
        </w:rPr>
      </w:pPr>
      <w:r>
        <w:rPr>
          <w:rFonts w:hint="eastAsia" w:ascii="仿宋_GB2312" w:eastAsia="仿宋_GB2312"/>
          <w:sz w:val="32"/>
          <w:szCs w:val="32"/>
        </w:rPr>
        <w:t>利用学校现有资源：充分挖掘和利用学校现有资源，如走廊、平台等“金边银角”，打造更多运动空间。同时，补充必要的活动器材，创造更加适宜的课间休息、活动环境。</w:t>
      </w:r>
    </w:p>
    <w:p w14:paraId="3DEEDEF8">
      <w:pPr>
        <w:spacing w:line="560" w:lineRule="exact"/>
        <w:ind w:firstLine="643" w:firstLineChars="200"/>
        <w:rPr>
          <w:rFonts w:ascii="仿宋_GB2312" w:eastAsia="仿宋_GB2312"/>
          <w:sz w:val="32"/>
          <w:szCs w:val="32"/>
        </w:rPr>
      </w:pPr>
      <w:r>
        <w:rPr>
          <w:rFonts w:hint="eastAsia" w:ascii="仿宋_GB2312" w:eastAsia="仿宋_GB2312"/>
          <w:b/>
          <w:sz w:val="32"/>
          <w:szCs w:val="32"/>
        </w:rPr>
        <w:t>4、规范课间管理。</w:t>
      </w:r>
      <w:r>
        <w:rPr>
          <w:rFonts w:hint="eastAsia" w:ascii="仿宋_GB2312" w:eastAsia="仿宋_GB2312"/>
          <w:sz w:val="32"/>
          <w:szCs w:val="32"/>
        </w:rPr>
        <w:t>严禁拖堂和提前上课：明确规定教师不得拖堂或提前上课，确保学生课间活动时间不被挤占。</w:t>
      </w:r>
    </w:p>
    <w:p w14:paraId="3048F5A9">
      <w:pPr>
        <w:spacing w:line="560" w:lineRule="exact"/>
        <w:ind w:firstLine="640" w:firstLineChars="200"/>
        <w:rPr>
          <w:rFonts w:ascii="仿宋_GB2312" w:eastAsia="仿宋_GB2312"/>
          <w:sz w:val="32"/>
          <w:szCs w:val="32"/>
        </w:rPr>
      </w:pPr>
      <w:r>
        <w:rPr>
          <w:rFonts w:hint="eastAsia" w:ascii="仿宋_GB2312" w:eastAsia="仿宋_GB2312"/>
          <w:sz w:val="32"/>
          <w:szCs w:val="32"/>
        </w:rPr>
        <w:t>减少不必要的约束：不得对学生课间活动设置不必要的约束，鼓励学生利用课间走出教室、走向户外进行放松休息和适量活动。</w:t>
      </w:r>
    </w:p>
    <w:p w14:paraId="477C0D7E">
      <w:pPr>
        <w:spacing w:line="560" w:lineRule="exact"/>
        <w:ind w:firstLine="640" w:firstLineChars="200"/>
        <w:rPr>
          <w:rFonts w:ascii="仿宋_GB2312" w:eastAsia="仿宋_GB2312"/>
          <w:sz w:val="32"/>
          <w:szCs w:val="32"/>
        </w:rPr>
      </w:pPr>
      <w:r>
        <w:rPr>
          <w:rFonts w:hint="eastAsia" w:ascii="仿宋_GB2312" w:eastAsia="仿宋_GB2312"/>
          <w:sz w:val="32"/>
          <w:szCs w:val="32"/>
        </w:rPr>
        <w:t>加强安全保障：加强体育场地、器材的安全保障工作，积极配备自动体外除颤仪（AED）等急救设备，落实校方责任保险制度。同时，加强学生安全常识教育，引导学生科学合理、安全有序地开展课间活动。</w:t>
      </w:r>
    </w:p>
    <w:p w14:paraId="466D7B5A">
      <w:pPr>
        <w:spacing w:line="560" w:lineRule="exact"/>
        <w:ind w:firstLine="640"/>
        <w:rPr>
          <w:rFonts w:ascii="黑体" w:hAnsi="黑体" w:eastAsia="黑体" w:cs="黑体"/>
          <w:sz w:val="32"/>
          <w:szCs w:val="32"/>
        </w:rPr>
      </w:pPr>
    </w:p>
    <w:p w14:paraId="5F04618D">
      <w:pPr>
        <w:spacing w:line="560" w:lineRule="exact"/>
        <w:ind w:firstLine="640"/>
        <w:rPr>
          <w:rFonts w:ascii="黑体" w:hAnsi="黑体" w:eastAsia="黑体" w:cs="黑体"/>
          <w:sz w:val="32"/>
          <w:szCs w:val="32"/>
        </w:rPr>
      </w:pPr>
    </w:p>
    <w:p w14:paraId="51C75DA4">
      <w:pPr>
        <w:spacing w:line="560" w:lineRule="exact"/>
        <w:ind w:firstLine="640"/>
        <w:rPr>
          <w:rFonts w:ascii="黑体" w:hAnsi="黑体" w:eastAsia="黑体" w:cs="黑体"/>
          <w:sz w:val="32"/>
          <w:szCs w:val="32"/>
        </w:rPr>
      </w:pPr>
    </w:p>
    <w:p w14:paraId="17B5CA64">
      <w:pPr>
        <w:spacing w:line="560" w:lineRule="exact"/>
        <w:rPr>
          <w:rFonts w:ascii="仿宋_GB2312" w:hAnsi="仿宋_GB2312" w:eastAsia="仿宋_GB2312" w:cs="仿宋_GB2312"/>
          <w:sz w:val="32"/>
          <w:szCs w:val="32"/>
        </w:rPr>
      </w:pPr>
    </w:p>
    <w:p w14:paraId="5C9BB1FA">
      <w:pPr>
        <w:spacing w:line="560" w:lineRule="exact"/>
        <w:rPr>
          <w:rFonts w:ascii="仿宋_GB2312" w:hAnsi="仿宋_GB2312" w:eastAsia="仿宋_GB2312" w:cs="仿宋_GB2312"/>
          <w:sz w:val="32"/>
          <w:szCs w:val="32"/>
        </w:rPr>
      </w:pPr>
    </w:p>
    <w:p w14:paraId="21E7C06F"/>
    <w:p w14:paraId="27FA73F7">
      <w:pPr>
        <w:rPr>
          <w:rFonts w:ascii="楷体_GB2312" w:hAnsi="楷体_GB2312" w:eastAsia="楷体_GB2312" w:cs="楷体_GB2312"/>
          <w:sz w:val="32"/>
          <w:szCs w:val="32"/>
        </w:rPr>
      </w:pPr>
    </w:p>
    <w:p w14:paraId="5ED7C36A">
      <w:pPr>
        <w:rPr>
          <w:rFonts w:ascii="楷体_GB2312" w:hAnsi="楷体_GB2312" w:eastAsia="楷体_GB2312" w:cs="楷体_GB2312"/>
          <w:sz w:val="32"/>
          <w:szCs w:val="32"/>
        </w:rPr>
      </w:pPr>
    </w:p>
    <w:p w14:paraId="4454F3FE">
      <w:pPr>
        <w:rPr>
          <w:rFonts w:ascii="楷体_GB2312" w:hAnsi="楷体_GB2312" w:eastAsia="楷体_GB2312" w:cs="楷体_GB2312"/>
          <w:sz w:val="32"/>
          <w:szCs w:val="32"/>
        </w:rPr>
      </w:pPr>
    </w:p>
    <w:p w14:paraId="30BF2CFE">
      <w:pPr>
        <w:rPr>
          <w:rFonts w:ascii="楷体_GB2312" w:hAnsi="楷体_GB2312" w:eastAsia="楷体_GB2312" w:cs="楷体_GB2312"/>
          <w:sz w:val="32"/>
          <w:szCs w:val="32"/>
        </w:rPr>
      </w:pPr>
    </w:p>
    <w:p w14:paraId="540EBC3D">
      <w:pPr>
        <w:rPr>
          <w:rFonts w:ascii="楷体_GB2312" w:hAnsi="楷体_GB2312" w:eastAsia="楷体_GB2312" w:cs="楷体_GB2312"/>
          <w:sz w:val="32"/>
          <w:szCs w:val="32"/>
        </w:rPr>
      </w:pPr>
    </w:p>
    <w:p w14:paraId="24842507">
      <w:pPr>
        <w:rPr>
          <w:rFonts w:ascii="楷体_GB2312" w:hAnsi="楷体_GB2312" w:eastAsia="楷体_GB2312" w:cs="楷体_GB2312"/>
          <w:sz w:val="32"/>
          <w:szCs w:val="32"/>
        </w:rPr>
      </w:pPr>
    </w:p>
    <w:p w14:paraId="0100246E">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提案编号:033</w:t>
      </w:r>
    </w:p>
    <w:p w14:paraId="292E7F76">
      <w:pPr>
        <w:spacing w:line="600" w:lineRule="exact"/>
        <w:rPr>
          <w:rFonts w:ascii="楷体_GB2312" w:hAnsi="方正小标宋简体" w:eastAsia="楷体_GB2312" w:cs="方正小标宋简体"/>
          <w:sz w:val="32"/>
          <w:szCs w:val="32"/>
        </w:rPr>
      </w:pPr>
      <w:r>
        <w:rPr>
          <w:rFonts w:hint="eastAsia" w:ascii="楷体_GB2312" w:hAnsi="楷体_GB2312" w:eastAsia="楷体_GB2312" w:cs="楷体_GB2312"/>
          <w:sz w:val="32"/>
          <w:szCs w:val="32"/>
        </w:rPr>
        <w:t>提案名称:</w:t>
      </w:r>
      <w:r>
        <w:rPr>
          <w:rFonts w:hint="eastAsia" w:ascii="楷体_GB2312" w:hAnsi="方正小标宋简体" w:eastAsia="楷体_GB2312" w:cs="方正小标宋简体"/>
          <w:sz w:val="32"/>
          <w:szCs w:val="32"/>
        </w:rPr>
        <w:t xml:space="preserve"> 关于仓窖村疏通修缮排水渠的提案</w:t>
      </w:r>
    </w:p>
    <w:p w14:paraId="08B56FD4">
      <w:pPr>
        <w:spacing w:line="560" w:lineRule="exact"/>
        <w:rPr>
          <w:rFonts w:ascii="楷体_GB2312" w:eastAsia="楷体_GB2312"/>
          <w:spacing w:val="-17"/>
          <w:sz w:val="32"/>
          <w:szCs w:val="32"/>
        </w:rPr>
      </w:pPr>
      <w:r>
        <w:rPr>
          <w:rFonts w:hint="eastAsia" w:ascii="楷体_GB2312" w:hAnsi="楷体_GB2312" w:eastAsia="楷体_GB2312" w:cs="楷体_GB2312"/>
          <w:sz w:val="32"/>
          <w:szCs w:val="32"/>
        </w:rPr>
        <w:t>提 案 人: 杨志伟</w:t>
      </w:r>
    </w:p>
    <w:p w14:paraId="4E3A74DF">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w:t>
      </w:r>
      <w:r>
        <w:rPr>
          <w:rFonts w:ascii="楷体_GB2312" w:hAnsi="楷体_GB2312" w:eastAsia="楷体_GB2312" w:cs="楷体_GB2312"/>
          <w:sz w:val="32"/>
          <w:szCs w:val="32"/>
        </w:rPr>
        <w:t>15149196667</w:t>
      </w:r>
    </w:p>
    <w:p w14:paraId="7A21D4EB">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别:中国共产党</w:t>
      </w:r>
    </w:p>
    <w:p w14:paraId="1F3A2AA0">
      <w:pPr>
        <w:spacing w:line="600" w:lineRule="exact"/>
        <w:ind w:firstLine="88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关于仓窖村疏通修缮排水渠的提案</w:t>
      </w:r>
    </w:p>
    <w:p w14:paraId="33992889">
      <w:pPr>
        <w:spacing w:line="600" w:lineRule="exact"/>
        <w:ind w:firstLine="640" w:firstLineChars="200"/>
        <w:rPr>
          <w:rFonts w:ascii="楷体_GB2312" w:hAnsi="楷体_GB2312" w:eastAsia="楷体_GB2312" w:cs="楷体_GB2312"/>
          <w:sz w:val="32"/>
          <w:szCs w:val="32"/>
        </w:rPr>
      </w:pPr>
    </w:p>
    <w:p w14:paraId="0D00B70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仓窖村毗邻赤峰市新城区，与牛家营子镇的和美社区、和瑞社区紧密相连，对于推动全旗城乡一体化进程具有重要的示范作用。目前，仓窖片区的环境卫生整治工作已取得初步成效，但排水渠的疏通和修缮工作仍需进一步加强和改善。一方面因为仓窖村土地基本征收，另一方面和美工贸园区建设时未对山洪排水问题尽心规划，村内没有泄洪渠。特别是在雨季，排水不畅易引发积水和内涝，给村民出行带来极大不便。尤其是在今年夏季，频繁的暴雨导致排水不畅，山洪水无法短时间内汇入雨水管网，排入锡伯河，导致山洪水直接排放到临潢大街，造成了淤泥和积水，这严重干扰了村民及和美片区居民的正常生活秩序。</w:t>
      </w:r>
    </w:p>
    <w:p w14:paraId="2FEE6A99">
      <w:pPr>
        <w:pStyle w:val="25"/>
        <w:numPr>
          <w:ilvl w:val="0"/>
          <w:numId w:val="11"/>
        </w:numPr>
        <w:spacing w:line="600" w:lineRule="exact"/>
        <w:ind w:firstLineChars="0"/>
        <w:rPr>
          <w:rFonts w:ascii="黑体" w:hAnsi="黑体" w:eastAsia="黑体" w:cs="仿宋_GB2312"/>
          <w:sz w:val="32"/>
          <w:szCs w:val="32"/>
        </w:rPr>
      </w:pPr>
      <w:r>
        <w:rPr>
          <w:rFonts w:hint="eastAsia" w:ascii="黑体" w:hAnsi="黑体" w:eastAsia="黑体" w:cs="仿宋_GB2312"/>
          <w:sz w:val="32"/>
          <w:szCs w:val="32"/>
        </w:rPr>
        <w:t>建议</w:t>
      </w:r>
    </w:p>
    <w:p w14:paraId="438121D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先，应当对仓窖村现有的排水渠进行全面的排查工作，准确地找出堵塞点和评估排水渠的老化程度，进而制定出一个详尽的疏通和修缮计划。其次，组织一支专业的施工队伍，运用现代化的技术和设备，对排水渠进行彻底的疏通和修缮工作，确保排水系统的畅通无阻。同时，还应加强排水渠的日常维护和保养工作，定期进行清理，以防止排水渠再次发生堵塞。</w:t>
      </w:r>
    </w:p>
    <w:p w14:paraId="7F2C3BB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通过完善排水设施，不仅能显著提升村民的生活品质，有效预防雨季内涝的发生，还能极大地改善村庄的环境面貌，为城乡一体化的进一步发展奠定坚实的基础。</w:t>
      </w:r>
    </w:p>
    <w:p w14:paraId="618BA0CB">
      <w:pPr>
        <w:spacing w:line="600" w:lineRule="exact"/>
        <w:ind w:firstLine="640" w:firstLineChars="200"/>
        <w:rPr>
          <w:rFonts w:ascii="仿宋_GB2312" w:hAnsi="仿宋_GB2312" w:eastAsia="仿宋_GB2312" w:cs="仿宋_GB2312"/>
          <w:sz w:val="32"/>
          <w:szCs w:val="32"/>
        </w:rPr>
      </w:pPr>
    </w:p>
    <w:p w14:paraId="0DEF28A2"/>
    <w:p w14:paraId="18B49760">
      <w:pPr>
        <w:spacing w:after="111" w:line="248" w:lineRule="auto"/>
        <w:ind w:right="227"/>
        <w:rPr>
          <w:rFonts w:ascii="楷体_GB2312" w:eastAsia="楷体_GB2312"/>
          <w:sz w:val="32"/>
          <w:szCs w:val="32"/>
        </w:rPr>
      </w:pPr>
    </w:p>
    <w:p w14:paraId="4FADEE09">
      <w:pPr>
        <w:spacing w:after="111" w:line="248" w:lineRule="auto"/>
        <w:ind w:right="227"/>
        <w:rPr>
          <w:rFonts w:ascii="楷体_GB2312" w:eastAsia="楷体_GB2312"/>
          <w:sz w:val="32"/>
          <w:szCs w:val="32"/>
        </w:rPr>
      </w:pPr>
    </w:p>
    <w:p w14:paraId="6E64D4AF">
      <w:pPr>
        <w:spacing w:after="111" w:line="248" w:lineRule="auto"/>
        <w:ind w:right="227"/>
        <w:rPr>
          <w:rFonts w:ascii="楷体_GB2312" w:eastAsia="楷体_GB2312"/>
          <w:sz w:val="32"/>
          <w:szCs w:val="32"/>
        </w:rPr>
      </w:pPr>
    </w:p>
    <w:p w14:paraId="1A922E81">
      <w:pPr>
        <w:spacing w:after="111" w:line="248" w:lineRule="auto"/>
        <w:ind w:right="227"/>
        <w:rPr>
          <w:rFonts w:ascii="楷体_GB2312" w:eastAsia="楷体_GB2312"/>
          <w:sz w:val="32"/>
          <w:szCs w:val="32"/>
        </w:rPr>
      </w:pPr>
    </w:p>
    <w:p w14:paraId="6CB8AC08">
      <w:pPr>
        <w:spacing w:after="111" w:line="248" w:lineRule="auto"/>
        <w:ind w:right="227"/>
        <w:rPr>
          <w:rFonts w:ascii="楷体_GB2312" w:eastAsia="楷体_GB2312"/>
          <w:sz w:val="32"/>
          <w:szCs w:val="32"/>
        </w:rPr>
      </w:pPr>
    </w:p>
    <w:p w14:paraId="3D5D7E20">
      <w:pPr>
        <w:spacing w:after="111" w:line="248" w:lineRule="auto"/>
        <w:ind w:right="227"/>
        <w:rPr>
          <w:rFonts w:ascii="楷体_GB2312" w:eastAsia="楷体_GB2312"/>
          <w:sz w:val="32"/>
          <w:szCs w:val="32"/>
        </w:rPr>
      </w:pPr>
    </w:p>
    <w:p w14:paraId="7C1280E4">
      <w:pPr>
        <w:spacing w:after="111" w:line="248" w:lineRule="auto"/>
        <w:ind w:right="227"/>
        <w:rPr>
          <w:rFonts w:ascii="楷体_GB2312" w:eastAsia="楷体_GB2312"/>
          <w:sz w:val="32"/>
          <w:szCs w:val="32"/>
        </w:rPr>
      </w:pPr>
    </w:p>
    <w:p w14:paraId="4C61EC6F">
      <w:pPr>
        <w:spacing w:after="111" w:line="248" w:lineRule="auto"/>
        <w:ind w:right="227"/>
        <w:rPr>
          <w:rFonts w:ascii="楷体_GB2312" w:eastAsia="楷体_GB2312"/>
          <w:sz w:val="32"/>
          <w:szCs w:val="32"/>
        </w:rPr>
      </w:pPr>
    </w:p>
    <w:p w14:paraId="615421BE">
      <w:pPr>
        <w:spacing w:after="111" w:line="248" w:lineRule="auto"/>
        <w:ind w:right="227"/>
        <w:rPr>
          <w:rFonts w:ascii="楷体_GB2312" w:eastAsia="楷体_GB2312"/>
          <w:sz w:val="32"/>
          <w:szCs w:val="32"/>
        </w:rPr>
      </w:pPr>
    </w:p>
    <w:p w14:paraId="49A10A24">
      <w:pPr>
        <w:spacing w:after="111" w:line="248" w:lineRule="auto"/>
        <w:ind w:right="227"/>
        <w:rPr>
          <w:rFonts w:ascii="楷体_GB2312" w:eastAsia="楷体_GB2312"/>
          <w:sz w:val="32"/>
          <w:szCs w:val="32"/>
        </w:rPr>
      </w:pPr>
    </w:p>
    <w:p w14:paraId="00BB6C65">
      <w:pPr>
        <w:spacing w:after="111" w:line="248" w:lineRule="auto"/>
        <w:ind w:right="227"/>
        <w:rPr>
          <w:rFonts w:ascii="楷体_GB2312" w:eastAsia="楷体_GB2312"/>
          <w:sz w:val="32"/>
          <w:szCs w:val="32"/>
        </w:rPr>
      </w:pPr>
    </w:p>
    <w:p w14:paraId="61C132B3">
      <w:pPr>
        <w:spacing w:after="111" w:line="248" w:lineRule="auto"/>
        <w:ind w:right="227"/>
        <w:rPr>
          <w:rFonts w:ascii="楷体_GB2312" w:eastAsia="楷体_GB2312"/>
          <w:sz w:val="32"/>
          <w:szCs w:val="32"/>
        </w:rPr>
      </w:pPr>
    </w:p>
    <w:p w14:paraId="62AF0714">
      <w:pPr>
        <w:spacing w:after="111" w:line="248" w:lineRule="auto"/>
        <w:ind w:right="227"/>
        <w:rPr>
          <w:rFonts w:ascii="楷体_GB2312" w:eastAsia="楷体_GB2312"/>
          <w:sz w:val="32"/>
          <w:szCs w:val="32"/>
        </w:rPr>
      </w:pPr>
    </w:p>
    <w:p w14:paraId="5C2BF55B">
      <w:pPr>
        <w:spacing w:after="111" w:line="248" w:lineRule="auto"/>
        <w:ind w:right="227"/>
        <w:rPr>
          <w:rFonts w:ascii="楷体_GB2312" w:eastAsia="楷体_GB2312"/>
          <w:sz w:val="32"/>
          <w:szCs w:val="32"/>
        </w:rPr>
      </w:pPr>
      <w:r>
        <w:rPr>
          <w:rFonts w:hint="eastAsia" w:ascii="楷体_GB2312" w:eastAsia="楷体_GB2312"/>
          <w:sz w:val="32"/>
          <w:szCs w:val="32"/>
        </w:rPr>
        <w:t xml:space="preserve">提案编号：034 </w:t>
      </w:r>
    </w:p>
    <w:p w14:paraId="3DA19474">
      <w:pPr>
        <w:spacing w:after="111" w:line="248" w:lineRule="auto"/>
        <w:ind w:right="227"/>
        <w:rPr>
          <w:rFonts w:ascii="楷体_GB2312" w:eastAsia="楷体_GB2312"/>
          <w:sz w:val="32"/>
          <w:szCs w:val="32"/>
        </w:rPr>
      </w:pPr>
      <w:r>
        <w:rPr>
          <w:rFonts w:hint="eastAsia" w:ascii="楷体_GB2312" w:eastAsia="楷体_GB2312"/>
          <w:sz w:val="32"/>
          <w:szCs w:val="32"/>
        </w:rPr>
        <w:t>提案名称：关于促进城乡教育优质均衡的提案</w:t>
      </w:r>
    </w:p>
    <w:p w14:paraId="3D97D72E">
      <w:pPr>
        <w:spacing w:after="111" w:line="248" w:lineRule="auto"/>
        <w:ind w:right="227"/>
        <w:rPr>
          <w:rFonts w:ascii="楷体_GB2312" w:eastAsia="楷体_GB2312"/>
          <w:sz w:val="32"/>
          <w:szCs w:val="32"/>
        </w:rPr>
      </w:pPr>
      <w:r>
        <w:rPr>
          <w:rFonts w:hint="eastAsia" w:ascii="楷体_GB2312" w:eastAsia="楷体_GB2312"/>
          <w:sz w:val="32"/>
          <w:szCs w:val="32"/>
        </w:rPr>
        <w:t>提 案 人：白永生</w:t>
      </w:r>
    </w:p>
    <w:p w14:paraId="3764BA3E">
      <w:pPr>
        <w:ind w:right="28"/>
        <w:rPr>
          <w:rFonts w:ascii="楷体_GB2312" w:eastAsia="楷体_GB2312"/>
          <w:sz w:val="32"/>
          <w:szCs w:val="32"/>
        </w:rPr>
      </w:pPr>
      <w:r>
        <w:rPr>
          <w:rFonts w:hint="eastAsia" w:ascii="楷体_GB2312" w:eastAsia="楷体_GB2312"/>
          <w:sz w:val="32"/>
          <w:szCs w:val="32"/>
        </w:rPr>
        <w:t>联系方式：13847669800</w:t>
      </w:r>
    </w:p>
    <w:p w14:paraId="4416FB9F">
      <w:pPr>
        <w:ind w:right="28"/>
        <w:rPr>
          <w:rFonts w:ascii="楷体_GB2312" w:eastAsia="楷体_GB2312"/>
          <w:sz w:val="32"/>
          <w:szCs w:val="32"/>
        </w:rPr>
      </w:pPr>
      <w:r>
        <w:rPr>
          <w:rFonts w:hint="eastAsia" w:ascii="楷体_GB2312" w:eastAsia="楷体_GB2312"/>
          <w:sz w:val="32"/>
          <w:szCs w:val="32"/>
        </w:rPr>
        <w:t>界    别：</w:t>
      </w:r>
      <w:r>
        <w:rPr>
          <w:rFonts w:hint="eastAsia" w:ascii="楷体_GB2312" w:hAnsi="楷体" w:eastAsia="楷体_GB2312"/>
          <w:sz w:val="32"/>
          <w:szCs w:val="32"/>
        </w:rPr>
        <w:t>教育</w:t>
      </w:r>
    </w:p>
    <w:p w14:paraId="54B6DFD7">
      <w:pPr>
        <w:spacing w:line="259" w:lineRule="auto"/>
        <w:ind w:right="145" w:firstLine="774" w:firstLineChars="176"/>
        <w:jc w:val="center"/>
        <w:rPr>
          <w:rFonts w:ascii="方正小标宋简体" w:eastAsia="方正小标宋简体"/>
          <w:sz w:val="44"/>
          <w:szCs w:val="44"/>
        </w:rPr>
      </w:pPr>
      <w:r>
        <w:rPr>
          <w:rFonts w:hint="eastAsia" w:ascii="方正小标宋简体" w:hAnsi="宋体" w:eastAsia="方正小标宋简体"/>
          <w:sz w:val="44"/>
          <w:szCs w:val="44"/>
        </w:rPr>
        <w:t>关于促进城乡教育优质均衡的提案</w:t>
      </w:r>
    </w:p>
    <w:p w14:paraId="76D2D490">
      <w:pPr>
        <w:spacing w:after="15" w:line="248" w:lineRule="auto"/>
        <w:ind w:left="850" w:right="3044" w:hanging="5"/>
        <w:rPr>
          <w:rFonts w:ascii="黑体" w:hAnsi="黑体" w:eastAsia="黑体"/>
          <w:sz w:val="32"/>
          <w:szCs w:val="32"/>
        </w:rPr>
      </w:pPr>
    </w:p>
    <w:p w14:paraId="609A54B1">
      <w:pPr>
        <w:spacing w:after="15" w:line="248" w:lineRule="auto"/>
        <w:ind w:left="850" w:right="3044" w:hanging="5"/>
        <w:rPr>
          <w:rFonts w:ascii="黑体" w:hAnsi="黑体" w:eastAsia="黑体"/>
          <w:sz w:val="32"/>
          <w:szCs w:val="32"/>
        </w:rPr>
      </w:pPr>
      <w:r>
        <w:rPr>
          <w:rFonts w:ascii="黑体" w:hAnsi="黑体" w:eastAsia="黑体"/>
          <w:sz w:val="32"/>
          <w:szCs w:val="32"/>
        </w:rPr>
        <w:t>一</w:t>
      </w:r>
      <w:r>
        <w:rPr>
          <w:rFonts w:hint="eastAsia" w:ascii="黑体" w:hAnsi="黑体" w:eastAsia="黑体"/>
          <w:sz w:val="32"/>
          <w:szCs w:val="32"/>
        </w:rPr>
        <w:t>、</w:t>
      </w:r>
      <w:r>
        <w:rPr>
          <w:rFonts w:ascii="黑体" w:hAnsi="黑体" w:eastAsia="黑体"/>
          <w:sz w:val="32"/>
          <w:szCs w:val="32"/>
        </w:rPr>
        <w:t>基本情况</w:t>
      </w:r>
    </w:p>
    <w:p w14:paraId="1499E7A4">
      <w:pPr>
        <w:spacing w:after="26" w:line="259" w:lineRule="auto"/>
        <w:rPr>
          <w:rFonts w:ascii="仿宋_GB2312" w:hAnsi="仿宋" w:eastAsia="仿宋_GB2312"/>
          <w:sz w:val="32"/>
        </w:rPr>
      </w:pPr>
      <w:r>
        <w:rPr>
          <w:rFonts w:hint="eastAsia" w:ascii="仿宋_GB2312" w:hAnsi="仿宋" w:eastAsia="仿宋_GB2312"/>
          <w:sz w:val="32"/>
        </w:rPr>
        <w:t>目前，全旗义务教育小学分布：城区锦山一第一小学、锦山第二小学、锦山第三小学、赤峰国际实验学校和美分校，计四所，乡镇小学9所（含两所九年一贯制学校）初中分布：城区锦山二中初中部、锦山第三中学、锦山第五中学、赤峰国际实验学校和美分校初中部计四所，乡镇初中五所（含两所九年一贯制学校），从布局来看，城区学校、小学初中各四所。每个乡镇保证一所小学，乡下学校有五所初中（含一贯制学校），无论按地域还是人口密度来看分布均趋于合理。但随着人民对教育质量、服务育人水平的期待和要求不断提高，国家对喀喇沁旗义务教育优质均衡发展在2028年进行达标验收，城乡人口所占比例不断增大等现状，对全旗义务教育又提出新的课题</w:t>
      </w:r>
    </w:p>
    <w:p w14:paraId="24DD5220">
      <w:pPr>
        <w:spacing w:after="15" w:line="248" w:lineRule="auto"/>
        <w:ind w:left="841" w:right="3040" w:hanging="5"/>
        <w:rPr>
          <w:rFonts w:ascii="黑体" w:hAnsi="黑体" w:eastAsia="黑体"/>
          <w:sz w:val="32"/>
          <w:szCs w:val="32"/>
        </w:rPr>
      </w:pPr>
      <w:r>
        <w:rPr>
          <w:rFonts w:ascii="黑体" w:hAnsi="黑体" w:eastAsia="黑体"/>
          <w:sz w:val="32"/>
          <w:szCs w:val="32"/>
        </w:rPr>
        <w:t>二、存在问题</w:t>
      </w:r>
    </w:p>
    <w:p w14:paraId="1A523FC1">
      <w:pPr>
        <w:spacing w:line="248" w:lineRule="auto"/>
        <w:ind w:left="232" w:right="113" w:firstLine="640" w:firstLineChars="200"/>
        <w:rPr>
          <w:rFonts w:ascii="仿宋_GB2312" w:hAnsi="仿宋" w:eastAsia="仿宋_GB2312"/>
          <w:sz w:val="32"/>
          <w:szCs w:val="32"/>
        </w:rPr>
      </w:pPr>
      <w:r>
        <w:rPr>
          <w:rFonts w:hint="eastAsia" w:ascii="楷体_GB2312" w:hAnsi="仿宋" w:eastAsia="楷体_GB2312"/>
          <w:sz w:val="32"/>
          <w:szCs w:val="32"/>
        </w:rPr>
        <w:t>（一）、尽管全旗教育布局趋于合理，但在校人数城区学校占超过总数的三分之二强；硬件建设城区基本达标；教师年龄结构、教学素养、学历水平均远超乡镇学校。</w:t>
      </w:r>
      <w:r>
        <w:rPr>
          <w:rFonts w:hint="eastAsia" w:ascii="仿宋_GB2312" w:hAnsi="仿宋" w:eastAsia="仿宋_GB2312"/>
          <w:sz w:val="32"/>
          <w:szCs w:val="32"/>
        </w:rPr>
        <w:t>从小学小升初成绩以及质量检测抽测成绩来看超过全旗平均水平，初升高乡镇学校基本在40%以下（个别学校除外）城区初升高均超过60%，高者超过80%，从高考成绩看，锦山中学升入清北、985院校、211院校生源基本来自城区学校。基于以上现状，乡镇生源外流（尤其是优秀生）、部分学校教师躺平，教学质量下滑等一系列恶性循环。</w:t>
      </w:r>
    </w:p>
    <w:p w14:paraId="73D81638">
      <w:pPr>
        <w:spacing w:line="248" w:lineRule="auto"/>
        <w:ind w:left="232" w:right="113" w:firstLine="640" w:firstLineChars="200"/>
        <w:rPr>
          <w:rFonts w:ascii="仿宋_GB2312" w:hAnsi="仿宋" w:eastAsia="仿宋_GB2312"/>
          <w:sz w:val="32"/>
          <w:szCs w:val="32"/>
        </w:rPr>
      </w:pPr>
      <w:r>
        <w:rPr>
          <w:rFonts w:hint="eastAsia" w:ascii="仿宋_GB2312" w:hAnsi="仿宋" w:eastAsia="仿宋_GB2312"/>
          <w:sz w:val="32"/>
          <w:szCs w:val="32"/>
        </w:rPr>
        <w:t>（二）、</w:t>
      </w:r>
      <w:r>
        <w:rPr>
          <w:rFonts w:hint="eastAsia" w:ascii="仿宋_GB2312" w:hAnsi="仿宋" w:eastAsia="仿宋_GB2312"/>
          <w:b/>
          <w:sz w:val="32"/>
          <w:szCs w:val="32"/>
        </w:rPr>
        <w:t>一是</w:t>
      </w:r>
      <w:r>
        <w:rPr>
          <w:rFonts w:hint="eastAsia" w:ascii="仿宋_GB2312" w:hAnsi="仿宋" w:eastAsia="仿宋_GB2312"/>
          <w:sz w:val="32"/>
          <w:szCs w:val="32"/>
        </w:rPr>
        <w:t>面城区学校班型过大，教师工作量大，思想、工作负担重，职称晋级难度大（评副高以上职称必须有乡镇工作经历），</w:t>
      </w:r>
      <w:r>
        <w:rPr>
          <w:rFonts w:hint="eastAsia" w:ascii="仿宋_GB2312" w:hAnsi="仿宋" w:eastAsia="仿宋_GB2312"/>
          <w:b/>
          <w:sz w:val="32"/>
          <w:szCs w:val="32"/>
        </w:rPr>
        <w:t>二是</w:t>
      </w:r>
      <w:r>
        <w:rPr>
          <w:rFonts w:hint="eastAsia" w:ascii="仿宋_GB2312" w:hAnsi="仿宋" w:eastAsia="仿宋_GB2312"/>
          <w:sz w:val="32"/>
          <w:szCs w:val="32"/>
        </w:rPr>
        <w:t>农村学校班型减小（有的初中每班只有不足20人），小学有教学点的学校有的只有几个学生，老师比学生都多，教师年龄结构不合理（有的学校年龄普遍偏大、有的学校年龄偏小），且学科结构不合理，致使部分乡镇学校在超编的前提下申请招聘短学科教师，而且，乡镇教师在职称评审中有很大优势：指标多（许多乡镇学校空出指标），评选条件低，使乡镇教师躺平。</w:t>
      </w:r>
    </w:p>
    <w:p w14:paraId="743810E1">
      <w:pPr>
        <w:spacing w:line="248" w:lineRule="auto"/>
        <w:ind w:right="113"/>
        <w:rPr>
          <w:rFonts w:ascii="仿宋_GB2312" w:hAnsi="仿宋" w:eastAsia="仿宋_GB2312"/>
          <w:sz w:val="32"/>
          <w:szCs w:val="32"/>
        </w:rPr>
      </w:pPr>
      <w:r>
        <w:rPr>
          <w:rFonts w:hint="eastAsia" w:ascii="楷体_GB2312" w:hAnsi="仿宋" w:eastAsia="楷体_GB2312"/>
          <w:sz w:val="32"/>
          <w:szCs w:val="32"/>
        </w:rPr>
        <w:t>（三）、受在校生人数限制。</w:t>
      </w:r>
      <w:r>
        <w:rPr>
          <w:rFonts w:hint="eastAsia" w:ascii="仿宋_GB2312" w:hAnsi="仿宋" w:eastAsia="仿宋_GB2312"/>
          <w:sz w:val="32"/>
          <w:szCs w:val="32"/>
        </w:rPr>
        <w:t>乡镇学校经费不足，限制了可持续发展</w:t>
      </w:r>
    </w:p>
    <w:p w14:paraId="3B4071EF">
      <w:pPr>
        <w:spacing w:after="15" w:line="248" w:lineRule="auto"/>
        <w:ind w:right="38" w:firstLine="1020" w:firstLineChars="340"/>
        <w:rPr>
          <w:rFonts w:ascii="黑体" w:hAnsi="黑体" w:eastAsia="黑体"/>
          <w:sz w:val="30"/>
        </w:rPr>
      </w:pPr>
      <w:r>
        <w:rPr>
          <w:rFonts w:hint="eastAsia" w:ascii="黑体" w:hAnsi="黑体" w:eastAsia="黑体"/>
          <w:sz w:val="30"/>
        </w:rPr>
        <w:t>三、</w:t>
      </w:r>
      <w:r>
        <w:rPr>
          <w:rFonts w:ascii="黑体" w:hAnsi="黑体" w:eastAsia="黑体"/>
          <w:sz w:val="30"/>
        </w:rPr>
        <w:t>建议</w:t>
      </w:r>
    </w:p>
    <w:p w14:paraId="23F34E0D">
      <w:pPr>
        <w:pStyle w:val="25"/>
        <w:spacing w:after="15" w:line="248" w:lineRule="auto"/>
        <w:ind w:left="227" w:right="105" w:rightChars="50" w:firstLine="570" w:firstLineChars="0"/>
        <w:rPr>
          <w:rFonts w:ascii="仿宋_GB2312" w:hAnsi="仿宋" w:eastAsia="仿宋_GB2312"/>
          <w:sz w:val="32"/>
          <w:szCs w:val="32"/>
        </w:rPr>
      </w:pPr>
      <w:r>
        <w:rPr>
          <w:rFonts w:hint="eastAsia" w:ascii="楷体_GB2312" w:hAnsi="仿宋" w:eastAsia="楷体_GB2312"/>
          <w:sz w:val="32"/>
          <w:szCs w:val="32"/>
        </w:rPr>
        <w:t>（一）、统筹全旗教师师资结构。</w:t>
      </w:r>
      <w:r>
        <w:rPr>
          <w:rFonts w:hint="eastAsia" w:ascii="仿宋_GB2312" w:hAnsi="仿宋" w:eastAsia="仿宋_GB2312"/>
          <w:sz w:val="32"/>
          <w:szCs w:val="32"/>
        </w:rPr>
        <w:t>按国家义教优质均衡标准合理进行现有教师考调，城区、乡镇之间跨区域通过考试方式进行有序流动。</w:t>
      </w:r>
    </w:p>
    <w:p w14:paraId="7C883E9D">
      <w:pPr>
        <w:spacing w:after="15" w:line="248" w:lineRule="auto"/>
        <w:ind w:left="239" w:leftChars="114" w:right="38" w:firstLine="640" w:firstLineChars="200"/>
        <w:rPr>
          <w:rFonts w:ascii="仿宋_GB2312" w:hAnsi="仿宋" w:eastAsia="仿宋_GB2312"/>
          <w:sz w:val="32"/>
          <w:szCs w:val="32"/>
        </w:rPr>
      </w:pPr>
      <w:r>
        <w:rPr>
          <w:rFonts w:hint="eastAsia" w:ascii="楷体_GB2312" w:hAnsi="仿宋" w:eastAsia="楷体_GB2312"/>
          <w:sz w:val="32"/>
          <w:szCs w:val="32"/>
        </w:rPr>
        <w:t>（二）、教育行政部门在教师招聘做计划时，严格控制各校编制数。</w:t>
      </w:r>
      <w:r>
        <w:rPr>
          <w:rFonts w:hint="eastAsia" w:ascii="仿宋_GB2312" w:hAnsi="仿宋" w:eastAsia="仿宋_GB2312"/>
          <w:sz w:val="32"/>
          <w:szCs w:val="32"/>
        </w:rPr>
        <w:t>在各校上报招聘教师具体计划数时，教育人事部门核查编制数后，再汇总上报招聘计划（因出生率急剧减少，现在小学三年级以上平行班近3000人，2023年出生人口全旗仅900人左右）。</w:t>
      </w:r>
    </w:p>
    <w:p w14:paraId="64F3B772">
      <w:pPr>
        <w:spacing w:after="15" w:line="248" w:lineRule="auto"/>
        <w:ind w:left="239" w:leftChars="114" w:right="38" w:firstLine="640" w:firstLineChars="200"/>
        <w:rPr>
          <w:rFonts w:ascii="仿宋_GB2312" w:hAnsi="仿宋" w:eastAsia="仿宋_GB2312"/>
          <w:sz w:val="32"/>
          <w:szCs w:val="32"/>
        </w:rPr>
      </w:pPr>
      <w:r>
        <w:rPr>
          <w:rFonts w:hint="eastAsia" w:ascii="楷体_GB2312" w:hAnsi="仿宋" w:eastAsia="楷体_GB2312"/>
          <w:sz w:val="32"/>
          <w:szCs w:val="32"/>
        </w:rPr>
        <w:t>（三）、推行全旗教师城区和乡镇间轮岗。</w:t>
      </w:r>
      <w:r>
        <w:rPr>
          <w:rFonts w:hint="eastAsia" w:ascii="仿宋_GB2312" w:hAnsi="仿宋" w:eastAsia="仿宋_GB2312"/>
          <w:sz w:val="32"/>
          <w:szCs w:val="32"/>
        </w:rPr>
        <w:t>至少轮岗3年一个周期。有利于是优质师资跨区域流动，促进教师校际间交流，推动各校间、城乡间教育均衡发展，减弱家长的择校迫切心情和动力，同时，更有利于城区教师职称评审，提供满一年以上乡镇工作经历的硬性条件。最大限度推动城区教师职称评审的公平性。</w:t>
      </w:r>
    </w:p>
    <w:p w14:paraId="3D41A4B0">
      <w:pPr>
        <w:spacing w:after="15" w:line="248" w:lineRule="auto"/>
        <w:ind w:left="239" w:leftChars="114" w:right="38" w:firstLine="640" w:firstLineChars="200"/>
        <w:rPr>
          <w:rFonts w:ascii="楷体_GB2312" w:hAnsi="仿宋" w:eastAsia="楷体_GB2312"/>
          <w:sz w:val="32"/>
          <w:szCs w:val="32"/>
        </w:rPr>
      </w:pPr>
      <w:r>
        <w:rPr>
          <w:rFonts w:hint="eastAsia" w:ascii="楷体_GB2312" w:hAnsi="仿宋" w:eastAsia="楷体_GB2312"/>
          <w:sz w:val="32"/>
          <w:szCs w:val="32"/>
        </w:rPr>
        <w:t>（四）、撤并农村中心学校下设的教学点。</w:t>
      </w:r>
      <w:r>
        <w:rPr>
          <w:rFonts w:hint="eastAsia" w:ascii="仿宋_GB2312" w:hAnsi="仿宋" w:eastAsia="仿宋_GB2312"/>
          <w:sz w:val="32"/>
          <w:szCs w:val="32"/>
        </w:rPr>
        <w:t>许多乡镇中心校还分布着村级小学教学点，有的教学点平行班人数只有几名学生，有个别教学点教师比学生还多，造成很大师资浪费，教育资金投入不足，教学质量较低。</w:t>
      </w:r>
    </w:p>
    <w:p w14:paraId="38DD1290">
      <w:pPr>
        <w:spacing w:after="15" w:line="248" w:lineRule="auto"/>
        <w:ind w:left="239" w:leftChars="114" w:right="38" w:firstLine="640" w:firstLineChars="200"/>
        <w:rPr>
          <w:rFonts w:ascii="楷体_GB2312" w:hAnsi="仿宋" w:eastAsia="楷体_GB2312"/>
          <w:sz w:val="32"/>
          <w:szCs w:val="32"/>
        </w:rPr>
      </w:pPr>
      <w:r>
        <w:rPr>
          <w:rFonts w:hint="eastAsia" w:ascii="楷体_GB2312" w:hAnsi="仿宋" w:eastAsia="楷体_GB2312"/>
          <w:sz w:val="32"/>
          <w:szCs w:val="32"/>
        </w:rPr>
        <w:t>（五）、加强农村薄弱学校的硬件建设资金投入。</w:t>
      </w:r>
    </w:p>
    <w:p w14:paraId="006D4F97">
      <w:pPr>
        <w:spacing w:after="15" w:line="248" w:lineRule="auto"/>
        <w:ind w:left="239" w:leftChars="114" w:right="38" w:firstLine="640" w:firstLineChars="200"/>
        <w:rPr>
          <w:rFonts w:ascii="仿宋_GB2312" w:hAnsi="仿宋" w:eastAsia="仿宋_GB2312"/>
          <w:sz w:val="32"/>
          <w:szCs w:val="32"/>
        </w:rPr>
      </w:pPr>
      <w:r>
        <w:rPr>
          <w:rFonts w:hint="eastAsia" w:ascii="仿宋_GB2312" w:hAnsi="仿宋" w:eastAsia="仿宋_GB2312"/>
          <w:sz w:val="32"/>
          <w:szCs w:val="32"/>
        </w:rPr>
        <w:t>综上所述，推动教育公平，加大校际间、城乡间教师流动轮岗，撤并教学点，平衡教育资金投入，一定会让全旗教育更加优质均可持续发展，为2028年优质均衡国检打下基础，为推动全旗教育高质量发展提供不竭动力，为创建人民满意的教育保驾护航。</w:t>
      </w:r>
    </w:p>
    <w:p w14:paraId="0B7F0408">
      <w:pPr>
        <w:spacing w:after="15" w:line="248" w:lineRule="auto"/>
        <w:ind w:right="38" w:firstLine="960" w:firstLineChars="300"/>
        <w:rPr>
          <w:rFonts w:ascii="仿宋" w:hAnsi="仿宋" w:eastAsia="仿宋"/>
          <w:sz w:val="32"/>
          <w:szCs w:val="32"/>
        </w:rPr>
      </w:pPr>
    </w:p>
    <w:p w14:paraId="1C861684"/>
    <w:p w14:paraId="3F0A5DA5">
      <w:pPr>
        <w:rPr>
          <w:rFonts w:ascii="楷体_GB2312" w:hAnsi="方正楷体_GBK" w:eastAsia="楷体_GB2312" w:cs="方正楷体_GBK"/>
          <w:sz w:val="32"/>
          <w:szCs w:val="32"/>
        </w:rPr>
      </w:pPr>
    </w:p>
    <w:p w14:paraId="1DD172D5">
      <w:pPr>
        <w:rPr>
          <w:rFonts w:ascii="楷体_GB2312" w:hAnsi="方正楷体_GBK" w:eastAsia="楷体_GB2312" w:cs="方正楷体_GBK"/>
          <w:sz w:val="32"/>
          <w:szCs w:val="32"/>
        </w:rPr>
      </w:pPr>
    </w:p>
    <w:p w14:paraId="25D14994">
      <w:pPr>
        <w:rPr>
          <w:rFonts w:ascii="楷体_GB2312" w:hAnsi="方正楷体_GBK" w:eastAsia="楷体_GB2312" w:cs="方正楷体_GBK"/>
          <w:sz w:val="32"/>
          <w:szCs w:val="32"/>
        </w:rPr>
      </w:pPr>
    </w:p>
    <w:p w14:paraId="6B5B8821">
      <w:pPr>
        <w:rPr>
          <w:rFonts w:ascii="楷体_GB2312" w:hAnsi="方正楷体_GBK" w:eastAsia="楷体_GB2312" w:cs="方正楷体_GBK"/>
          <w:sz w:val="32"/>
          <w:szCs w:val="32"/>
        </w:rPr>
      </w:pPr>
    </w:p>
    <w:p w14:paraId="4BE2BBC8">
      <w:pPr>
        <w:rPr>
          <w:rFonts w:ascii="楷体_GB2312" w:hAnsi="方正楷体_GBK" w:eastAsia="楷体_GB2312" w:cs="方正楷体_GBK"/>
          <w:sz w:val="32"/>
          <w:szCs w:val="32"/>
        </w:rPr>
      </w:pPr>
    </w:p>
    <w:p w14:paraId="4DE1D119">
      <w:pPr>
        <w:rPr>
          <w:rFonts w:ascii="楷体_GB2312" w:hAnsi="方正楷体_GBK" w:eastAsia="楷体_GB2312" w:cs="方正楷体_GBK"/>
          <w:sz w:val="32"/>
          <w:szCs w:val="32"/>
        </w:rPr>
      </w:pPr>
    </w:p>
    <w:p w14:paraId="4B5D400D">
      <w:pPr>
        <w:rPr>
          <w:rFonts w:ascii="楷体_GB2312" w:hAnsi="方正楷体_GBK" w:eastAsia="楷体_GB2312" w:cs="方正楷体_GBK"/>
          <w:sz w:val="32"/>
          <w:szCs w:val="32"/>
        </w:rPr>
      </w:pPr>
    </w:p>
    <w:p w14:paraId="3A3A5C74">
      <w:pPr>
        <w:rPr>
          <w:rFonts w:ascii="楷体_GB2312" w:hAnsi="方正楷体_GBK" w:eastAsia="楷体_GB2312" w:cs="方正楷体_GBK"/>
          <w:sz w:val="32"/>
          <w:szCs w:val="32"/>
        </w:rPr>
      </w:pPr>
    </w:p>
    <w:p w14:paraId="4A65CF51">
      <w:pPr>
        <w:rPr>
          <w:rFonts w:ascii="楷体_GB2312" w:hAnsi="方正楷体_GBK" w:eastAsia="楷体_GB2312" w:cs="方正楷体_GBK"/>
          <w:sz w:val="32"/>
          <w:szCs w:val="32"/>
        </w:rPr>
      </w:pPr>
    </w:p>
    <w:p w14:paraId="57517CD9">
      <w:pPr>
        <w:rPr>
          <w:rFonts w:ascii="楷体_GB2312" w:hAnsi="方正楷体_GBK" w:eastAsia="楷体_GB2312" w:cs="方正楷体_GBK"/>
          <w:sz w:val="32"/>
          <w:szCs w:val="32"/>
        </w:rPr>
      </w:pPr>
    </w:p>
    <w:p w14:paraId="00BCC298">
      <w:pPr>
        <w:rPr>
          <w:rFonts w:ascii="楷体_GB2312" w:hAnsi="方正楷体_GBK" w:eastAsia="楷体_GB2312" w:cs="方正楷体_GBK"/>
          <w:sz w:val="32"/>
          <w:szCs w:val="32"/>
        </w:rPr>
      </w:pPr>
    </w:p>
    <w:p w14:paraId="6CFF2E47">
      <w:pPr>
        <w:rPr>
          <w:rFonts w:ascii="楷体_GB2312" w:hAnsi="方正楷体_GBK" w:eastAsia="楷体_GB2312" w:cs="方正楷体_GBK"/>
          <w:sz w:val="32"/>
          <w:szCs w:val="32"/>
        </w:rPr>
      </w:pPr>
    </w:p>
    <w:p w14:paraId="0F00ECD4">
      <w:pPr>
        <w:rPr>
          <w:rFonts w:ascii="楷体_GB2312" w:hAnsi="方正楷体_GBK" w:eastAsia="楷体_GB2312" w:cs="方正楷体_GBK"/>
          <w:sz w:val="32"/>
          <w:szCs w:val="32"/>
        </w:rPr>
      </w:pPr>
    </w:p>
    <w:p w14:paraId="39090968">
      <w:pPr>
        <w:rPr>
          <w:rFonts w:ascii="楷体_GB2312" w:hAnsi="方正楷体_GBK" w:eastAsia="楷体_GB2312" w:cs="方正楷体_GBK"/>
          <w:sz w:val="32"/>
          <w:szCs w:val="32"/>
        </w:rPr>
      </w:pPr>
    </w:p>
    <w:p w14:paraId="01155D91">
      <w:pPr>
        <w:rPr>
          <w:rFonts w:ascii="楷体_GB2312" w:hAnsi="方正楷体_GBK" w:eastAsia="楷体_GB2312" w:cs="方正楷体_GBK"/>
          <w:sz w:val="32"/>
          <w:szCs w:val="32"/>
        </w:rPr>
      </w:pPr>
    </w:p>
    <w:p w14:paraId="0D609941">
      <w:pPr>
        <w:rPr>
          <w:rFonts w:ascii="楷体_GB2312" w:hAnsi="方正楷体_GBK" w:eastAsia="楷体_GB2312" w:cs="方正楷体_GBK"/>
          <w:sz w:val="32"/>
          <w:szCs w:val="32"/>
        </w:rPr>
      </w:pPr>
    </w:p>
    <w:p w14:paraId="6A12C213">
      <w:pPr>
        <w:rPr>
          <w:rFonts w:ascii="楷体_GB2312" w:hAnsi="方正楷体_GBK" w:eastAsia="楷体_GB2312" w:cs="方正楷体_GBK"/>
          <w:sz w:val="32"/>
          <w:szCs w:val="32"/>
        </w:rPr>
      </w:pPr>
    </w:p>
    <w:p w14:paraId="630071C9">
      <w:pPr>
        <w:rPr>
          <w:rFonts w:ascii="楷体_GB2312" w:hAnsi="方正楷体_GBK" w:eastAsia="楷体_GB2312" w:cs="方正楷体_GBK"/>
          <w:sz w:val="32"/>
          <w:szCs w:val="32"/>
        </w:rPr>
      </w:pPr>
    </w:p>
    <w:p w14:paraId="42907425">
      <w:pPr>
        <w:rPr>
          <w:rFonts w:ascii="楷体_GB2312" w:hAnsi="方正楷体_GBK" w:eastAsia="楷体_GB2312" w:cs="方正楷体_GBK"/>
          <w:sz w:val="32"/>
          <w:szCs w:val="32"/>
        </w:rPr>
      </w:pPr>
    </w:p>
    <w:p w14:paraId="1250F62F">
      <w:pPr>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提案编号：035</w:t>
      </w:r>
    </w:p>
    <w:p w14:paraId="4988F4FC">
      <w:pPr>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提案名称：关于促进妇女发展的提案</w:t>
      </w:r>
    </w:p>
    <w:p w14:paraId="3B40BA12">
      <w:pPr>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提 案 人：李艳华</w:t>
      </w:r>
    </w:p>
    <w:p w14:paraId="3287169C">
      <w:pPr>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联系方式：15124925246</w:t>
      </w:r>
    </w:p>
    <w:p w14:paraId="03C8C159">
      <w:pPr>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界    别：妇女联合会</w:t>
      </w:r>
    </w:p>
    <w:p w14:paraId="2AD89FE0">
      <w:pPr>
        <w:jc w:val="center"/>
        <w:rPr>
          <w:rFonts w:ascii="方正小标宋简体" w:hAnsi="方正小标宋_GBK" w:eastAsia="方正小标宋简体" w:cs="方正小标宋_GBK"/>
          <w:sz w:val="44"/>
          <w:szCs w:val="44"/>
        </w:rPr>
      </w:pPr>
      <w:r>
        <w:rPr>
          <w:rFonts w:hint="eastAsia" w:ascii="方正小标宋简体" w:hAnsi="方正小标宋简体" w:eastAsia="方正小标宋简体" w:cs="方正小标宋简体"/>
          <w:sz w:val="44"/>
          <w:szCs w:val="44"/>
        </w:rPr>
        <w:t xml:space="preserve"> </w:t>
      </w:r>
      <w:r>
        <w:rPr>
          <w:rFonts w:hint="eastAsia" w:ascii="方正小标宋简体" w:hAnsi="方正小标宋_GBK" w:eastAsia="方正小标宋简体" w:cs="方正小标宋_GBK"/>
          <w:sz w:val="44"/>
          <w:szCs w:val="44"/>
        </w:rPr>
        <w:t>关于促进妇女发展的提案</w:t>
      </w:r>
    </w:p>
    <w:p w14:paraId="0B83E972">
      <w:pPr>
        <w:jc w:val="center"/>
        <w:rPr>
          <w:rFonts w:ascii="方正仿宋_GBK" w:hAnsi="方正仿宋_GBK" w:eastAsia="方正仿宋_GBK" w:cs="方正仿宋_GBK"/>
          <w:sz w:val="32"/>
          <w:szCs w:val="32"/>
        </w:rPr>
      </w:pPr>
    </w:p>
    <w:p w14:paraId="182EB959">
      <w:pPr>
        <w:ind w:firstLine="640" w:firstLineChars="200"/>
        <w:rPr>
          <w:rFonts w:ascii="仿宋_GB2312" w:eastAsia="仿宋_GB2312"/>
          <w:sz w:val="32"/>
          <w:szCs w:val="32"/>
        </w:rPr>
      </w:pPr>
      <w:r>
        <w:rPr>
          <w:rFonts w:hint="eastAsia" w:ascii="仿宋_GB2312" w:eastAsia="仿宋_GB2312"/>
          <w:sz w:val="32"/>
          <w:szCs w:val="32"/>
        </w:rPr>
        <w:t>全旗总面积3050平方公里，辖9个乡镇、2个街道，161个行政村、14个社区，总人口34万人，男性17.6万，女性16.4万。</w:t>
      </w:r>
    </w:p>
    <w:p w14:paraId="741D0030">
      <w:pPr>
        <w:ind w:firstLine="640" w:firstLineChars="200"/>
        <w:rPr>
          <w:rFonts w:ascii="黑体" w:hAnsi="黑体" w:eastAsia="黑体" w:cs="黑体"/>
          <w:sz w:val="32"/>
          <w:szCs w:val="32"/>
        </w:rPr>
      </w:pPr>
      <w:r>
        <w:rPr>
          <w:rFonts w:hint="eastAsia" w:ascii="黑体" w:hAnsi="黑体" w:eastAsia="黑体" w:cs="黑体"/>
          <w:sz w:val="32"/>
          <w:szCs w:val="32"/>
        </w:rPr>
        <w:t>一、目前全旗妇女发展现状</w:t>
      </w:r>
    </w:p>
    <w:p w14:paraId="06063A28">
      <w:pPr>
        <w:ind w:firstLine="640" w:firstLineChars="200"/>
        <w:rPr>
          <w:rFonts w:ascii="仿宋_GB2312" w:eastAsia="仿宋_GB2312"/>
          <w:sz w:val="32"/>
          <w:szCs w:val="32"/>
        </w:rPr>
      </w:pPr>
      <w:r>
        <w:rPr>
          <w:rFonts w:hint="eastAsia" w:ascii="楷体_GB2312" w:hAnsi="仿宋_GB2312" w:eastAsia="楷体_GB2312" w:cs="仿宋_GB2312"/>
          <w:sz w:val="32"/>
          <w:szCs w:val="32"/>
        </w:rPr>
        <w:t>（一）妇女就业创业方面。</w:t>
      </w:r>
      <w:r>
        <w:rPr>
          <w:rFonts w:hint="eastAsia" w:ascii="仿宋_GB2312" w:eastAsia="仿宋_GB2312"/>
          <w:sz w:val="32"/>
          <w:szCs w:val="32"/>
        </w:rPr>
        <w:t>在全旗经济稳定发展的背景下，妇女就业渠道日益拓宽，就业人数持续增加。在农业领域，农业纳全旗近70%女性劳动力，妇女成为农村经济发展的重要力量，积极参与种植、养殖、农产品加工等产业，通过发展庭院经济、家庭农场等形式，实现增收致富；在工业领域，随着工业园区的建设和企业的发展，部分妇女进入制造业企业，从事生产加工、技术操作等工作；服务业更是妇女就业的主阵地，餐饮、住宿、旅游、家政服务、电商等行业吸纳了大量妇女就业，家政行业女性占据主导地位达90%、在医疗行业护士岗位女性占绝大多数，医生岗位女性比例也在逐步上升，综合起来女性占比大概在60%左右、新兴的互联网行业整体女性占比在35% 左右，在运营、客服等岗位女性比例会相对较高达到63%，在一些新兴服务业态中，妇女凭借自身优势崭露头角，乡村旅游中，许多妇女参与农家乐经营、旅游产品销售等，成为推动当地旅游业发展的生力军。同时，创业氛围日益浓厚，政府出台了一系列鼓励创业的政策措施，激发了妇女的创业热情。许多妇女凭借敏锐的市场洞察力和坚韧的创业精神，创办了各类企业和个体工商户，涉及领域包括服装加工、特色食品制作、手工艺品制作、电子商务等。一些优秀的女性创业者还通过成立专业合作社，带动周边妇女共同创业就业，形成了良好的创业示范效应。</w:t>
      </w:r>
    </w:p>
    <w:p w14:paraId="725E141C">
      <w:pPr>
        <w:ind w:firstLine="640" w:firstLineChars="200"/>
        <w:rPr>
          <w:rFonts w:ascii="仿宋_GB2312" w:eastAsia="仿宋_GB2312"/>
          <w:sz w:val="32"/>
          <w:szCs w:val="32"/>
        </w:rPr>
      </w:pPr>
      <w:r>
        <w:rPr>
          <w:rFonts w:ascii="楷体_GB2312" w:hAnsi="仿宋_GB2312" w:eastAsia="楷体_GB2312" w:cs="仿宋_GB2312"/>
          <w:sz w:val="32"/>
          <w:szCs w:val="32"/>
        </w:rPr>
        <w:t>（二）教育领域成果显著。</w:t>
      </w:r>
      <w:r>
        <w:rPr>
          <w:rFonts w:ascii="仿宋_GB2312" w:eastAsia="仿宋_GB2312"/>
          <w:sz w:val="32"/>
          <w:szCs w:val="32"/>
        </w:rPr>
        <w:t>基础教育普及程度高，近年来，喀喇沁旗持续加大教育投入，改善办学条件，保障了女童平等接受基础教育的权利。全旗小学和初中女童入学率均达到90%以上，基本消除了女童辍学现象。在义务教育阶段，男女学生在学业成绩、综合素质发展等方面差距逐渐缩小，女童在学校各项活动中表现活跃，展现出良好的发展潜力。高等教育入学率稳步提升随着家庭对教育重视程度的提高和教育扶贫政策的实施，越来越多的喀喇沁旗女性获得了接受高等教育的机会。全旗女性高等教育毛入学率达到 61%，在各类高校中，喀喇沁旗籍女大学生在不同专业领域展现出自身优势，为未来职业发展奠定了坚实基础。同时，职业教育也为女性提供了多样化的技能培训选择，许多女性通过职业院校学习掌握了实用技术，提升了就业竞争力。</w:t>
      </w:r>
    </w:p>
    <w:p w14:paraId="2FD8F3F5">
      <w:pPr>
        <w:numPr>
          <w:ilvl w:val="0"/>
          <w:numId w:val="12"/>
        </w:numPr>
        <w:ind w:firstLine="640" w:firstLineChars="200"/>
        <w:rPr>
          <w:rFonts w:ascii="仿宋_GB2312" w:eastAsia="仿宋_GB2312"/>
          <w:sz w:val="32"/>
          <w:szCs w:val="32"/>
        </w:rPr>
      </w:pPr>
      <w:r>
        <w:rPr>
          <w:rFonts w:hint="eastAsia" w:ascii="楷体_GB2312" w:hAnsi="仿宋_GB2312" w:eastAsia="楷体_GB2312" w:cs="仿宋_GB2312"/>
          <w:sz w:val="32"/>
          <w:szCs w:val="32"/>
        </w:rPr>
        <w:t>健康方面</w:t>
      </w:r>
      <w:r>
        <w:rPr>
          <w:rFonts w:ascii="楷体_GB2312" w:hAnsi="仿宋_GB2312" w:eastAsia="楷体_GB2312" w:cs="仿宋_GB2312"/>
          <w:sz w:val="32"/>
          <w:szCs w:val="32"/>
        </w:rPr>
        <w:t>。</w:t>
      </w:r>
      <w:r>
        <w:rPr>
          <w:rFonts w:ascii="仿宋_GB2312" w:eastAsia="仿宋_GB2312"/>
          <w:sz w:val="32"/>
          <w:szCs w:val="32"/>
        </w:rPr>
        <w:t>妇幼保健机构在妇女健康保障方面发挥了重要作用，为妇女提供婚前保健、孕期保健、产后访视、妇女病普查普治等全方位的医疗保健服务。同时，基层医疗卫生机构不断加强，乡村医生队伍建设得到重视，妇女能够在基层享受到便捷的基本医疗和公共卫生服务。通过广泛开展健康教育宣传活动妇女健康意识逐步增强，越来越多的妇女认识到健康的重要性，主动关注自身健康状况，积极参加健康体检，养成良好的生活习惯，如合理饮食、适量运动、定期体检等，妇女常见疾病的预防和控制取得了一定成效。</w:t>
      </w:r>
      <w:r>
        <w:rPr>
          <w:rFonts w:hint="eastAsia" w:ascii="仿宋_GB2312" w:eastAsia="仿宋_GB2312"/>
          <w:sz w:val="32"/>
          <w:szCs w:val="32"/>
        </w:rPr>
        <w:t xml:space="preserve">     </w:t>
      </w:r>
    </w:p>
    <w:p w14:paraId="3B334DCD">
      <w:pPr>
        <w:ind w:firstLine="640" w:firstLineChars="200"/>
        <w:rPr>
          <w:rFonts w:ascii="黑体" w:hAnsi="黑体" w:eastAsia="黑体" w:cs="仿宋_GB2312"/>
          <w:sz w:val="32"/>
          <w:szCs w:val="32"/>
        </w:rPr>
      </w:pPr>
      <w:r>
        <w:rPr>
          <w:rFonts w:hint="eastAsia" w:ascii="黑体" w:hAnsi="黑体" w:eastAsia="黑体" w:cs="仿宋_GB2312"/>
          <w:sz w:val="32"/>
          <w:szCs w:val="32"/>
        </w:rPr>
        <w:t>二、存在的问题</w:t>
      </w:r>
    </w:p>
    <w:p w14:paraId="4DF23870">
      <w:pPr>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（一）</w:t>
      </w:r>
      <w:r>
        <w:rPr>
          <w:rFonts w:ascii="楷体_GB2312" w:hAnsi="仿宋_GB2312" w:eastAsia="楷体_GB2312" w:cs="仿宋_GB2312"/>
          <w:sz w:val="32"/>
          <w:szCs w:val="32"/>
        </w:rPr>
        <w:t>妇女</w:t>
      </w:r>
      <w:r>
        <w:rPr>
          <w:rFonts w:hint="eastAsia" w:ascii="楷体_GB2312" w:hAnsi="仿宋_GB2312" w:eastAsia="楷体_GB2312" w:cs="仿宋_GB2312"/>
          <w:sz w:val="32"/>
          <w:szCs w:val="32"/>
        </w:rPr>
        <w:t>就业</w:t>
      </w:r>
      <w:r>
        <w:rPr>
          <w:rFonts w:ascii="楷体_GB2312" w:hAnsi="仿宋_GB2312" w:eastAsia="楷体_GB2312" w:cs="仿宋_GB2312"/>
          <w:sz w:val="32"/>
          <w:szCs w:val="32"/>
        </w:rPr>
        <w:t>创业</w:t>
      </w:r>
      <w:r>
        <w:rPr>
          <w:rFonts w:hint="eastAsia" w:ascii="楷体_GB2312" w:hAnsi="仿宋_GB2312" w:eastAsia="楷体_GB2312" w:cs="仿宋_GB2312"/>
          <w:sz w:val="32"/>
          <w:szCs w:val="32"/>
        </w:rPr>
        <w:t>方面。</w:t>
      </w:r>
      <w:r>
        <w:rPr>
          <w:rFonts w:hint="eastAsia" w:ascii="仿宋_GB2312" w:hAnsi="仿宋_GB2312" w:eastAsia="仿宋_GB2312" w:cs="仿宋_GB2312"/>
          <w:b/>
          <w:bCs/>
          <w:sz w:val="32"/>
          <w:szCs w:val="32"/>
        </w:rPr>
        <w:t>一是</w:t>
      </w:r>
      <w:r>
        <w:rPr>
          <w:rFonts w:ascii="仿宋_GB2312" w:hAnsi="仿宋_GB2312" w:eastAsia="仿宋_GB2312" w:cs="仿宋_GB2312"/>
          <w:bCs/>
          <w:sz w:val="32"/>
          <w:szCs w:val="32"/>
        </w:rPr>
        <w:t>共性方面</w:t>
      </w:r>
      <w:r>
        <w:rPr>
          <w:rFonts w:ascii="仿宋_GB2312" w:hAnsi="仿宋_GB2312" w:eastAsia="仿宋_GB2312" w:cs="仿宋_GB2312"/>
          <w:sz w:val="32"/>
          <w:szCs w:val="32"/>
        </w:rPr>
        <w:t>资金短缺。女性在获取资金方面面临更多困难，由于缺乏抵押物和稳定的收入来源，金融机构对女性的贷款额度相对较低或审批条件更为严格，限制了她们扩大生产规模、引进新技术和新品种、购买先进的生产设备等多方面的情况。</w:t>
      </w:r>
      <w:r>
        <w:rPr>
          <w:rFonts w:hint="eastAsia" w:ascii="仿宋_GB2312" w:hAnsi="仿宋_GB2312" w:eastAsia="仿宋_GB2312" w:cs="仿宋_GB2312"/>
          <w:b/>
          <w:sz w:val="32"/>
          <w:szCs w:val="32"/>
        </w:rPr>
        <w:t>二是</w:t>
      </w:r>
      <w:r>
        <w:rPr>
          <w:rFonts w:ascii="仿宋_GB2312" w:hAnsi="仿宋_GB2312" w:eastAsia="仿宋_GB2312" w:cs="仿宋_GB2312"/>
          <w:sz w:val="32"/>
          <w:szCs w:val="32"/>
        </w:rPr>
        <w:t>缺少专业技术人才。缺少高知、有企业规划、有出色能力的专业技术人才，女性从业者自身的管理知识和经验相对不足，难以对生产经营进行科学合理的规划和管理，限制了发展。</w:t>
      </w:r>
      <w:r>
        <w:rPr>
          <w:rFonts w:hint="eastAsia" w:ascii="仿宋_GB2312" w:hAnsi="仿宋_GB2312" w:eastAsia="仿宋_GB2312" w:cs="仿宋_GB2312"/>
          <w:b/>
          <w:sz w:val="32"/>
          <w:szCs w:val="32"/>
        </w:rPr>
        <w:t>三是</w:t>
      </w:r>
      <w:r>
        <w:rPr>
          <w:rFonts w:ascii="仿宋_GB2312" w:hAnsi="仿宋_GB2312" w:eastAsia="仿宋_GB2312" w:cs="仿宋_GB2312"/>
          <w:sz w:val="32"/>
          <w:szCs w:val="32"/>
        </w:rPr>
        <w:t>就业方面。就业性别歧视现象依然存在，一些行业和企业及某些传统观念较强的领域，就业性别歧视问题尚未得到根本解决，在招聘过程中，一些用人单位对女性设置不合理的限制条件。</w:t>
      </w:r>
      <w:r>
        <w:rPr>
          <w:rFonts w:hint="eastAsia" w:ascii="仿宋_GB2312" w:hAnsi="仿宋_GB2312" w:eastAsia="仿宋_GB2312" w:cs="仿宋_GB2312"/>
          <w:b/>
          <w:sz w:val="32"/>
          <w:szCs w:val="32"/>
        </w:rPr>
        <w:t>四是</w:t>
      </w:r>
      <w:r>
        <w:rPr>
          <w:rFonts w:ascii="仿宋_GB2312" w:hAnsi="仿宋_GB2312" w:eastAsia="仿宋_GB2312" w:cs="仿宋_GB2312"/>
          <w:sz w:val="32"/>
          <w:szCs w:val="32"/>
        </w:rPr>
        <w:t>社会支持不足。政府和社会对女性手工业的扶持政策相对较少，缺乏针对性的培训项目、资金支持和市场推广活动。同时，女性从业者</w:t>
      </w:r>
      <w:r>
        <w:rPr>
          <w:rFonts w:hint="eastAsia" w:ascii="仿宋_GB2312" w:hAnsi="仿宋_GB2312" w:eastAsia="仿宋_GB2312" w:cs="仿宋_GB2312"/>
          <w:sz w:val="32"/>
          <w:szCs w:val="32"/>
        </w:rPr>
        <w:t>信息获取渠道较窄，难以及时了解到最新的行业动态、市场需求和政策优惠信息，从而错过一些良好的创业就业机会。缺乏强大的社交网络可能阻碍业务的发展和个人职业的成长。</w:t>
      </w:r>
    </w:p>
    <w:p w14:paraId="5617A228">
      <w:pPr>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（二）个性方面</w:t>
      </w:r>
      <w:r>
        <w:rPr>
          <w:rFonts w:ascii="仿宋_GB2312" w:hAnsi="仿宋_GB2312" w:eastAsia="仿宋_GB2312" w:cs="仿宋_GB2312"/>
          <w:sz w:val="32"/>
          <w:szCs w:val="32"/>
        </w:rPr>
        <w:t>。农业手工业缺少产品二次加工经验，销售渠道窄，拓宽销路方式少，没有特色亮点品牌的问题。商业方面缺少稳定的进货销售渠道，难以适应当下市场需求，存在商品堆积现象。</w:t>
      </w:r>
    </w:p>
    <w:p w14:paraId="53C42451">
      <w:pPr>
        <w:ind w:firstLine="640" w:firstLineChars="200"/>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（三）教育方面。</w:t>
      </w:r>
      <w:r>
        <w:rPr>
          <w:rFonts w:ascii="仿宋_GB2312" w:hAnsi="仿宋_GB2312" w:eastAsia="仿宋_GB2312" w:cs="仿宋_GB2312"/>
          <w:sz w:val="32"/>
          <w:szCs w:val="32"/>
        </w:rPr>
        <w:t>教育资源城乡分布不均衡尽管全旗教育总体水平有了较大提升，但城乡教育资源差距仍然存在。农村地区学校在师资力量、教学设施、教育信息化水平等方面相对薄弱，优质教育资源向城市集中，导致农村女童在接受高质量教育方面面临一定困难，影响了她们的综合素质发展和未来升学、就业机会。职业教育与市场需求对接不够紧密部分职业教育院校在专业设置上未能充分考虑市场需求和女性就业特点，存在一定的盲目性和滞后性。一些热门专业招生过于饱和，而市场急需的养老护理、母婴护理、电子商务运营等专业人才培养不足，导致女性职业教育毕业生就业对口率不高，就业质量有待提升。</w:t>
      </w:r>
    </w:p>
    <w:p w14:paraId="10AA316A">
      <w:pPr>
        <w:ind w:left="420" w:leftChars="200"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（四）健康方面。</w:t>
      </w:r>
      <w:r>
        <w:rPr>
          <w:rFonts w:ascii="仿宋_GB2312" w:hAnsi="仿宋_GB2312" w:eastAsia="仿宋_GB2312" w:cs="仿宋_GB2312"/>
          <w:b/>
          <w:sz w:val="32"/>
          <w:szCs w:val="32"/>
        </w:rPr>
        <w:t>一是</w:t>
      </w:r>
      <w:r>
        <w:rPr>
          <w:rFonts w:ascii="仿宋_GB2312" w:hAnsi="仿宋_GB2312" w:eastAsia="仿宋_GB2312" w:cs="仿宋_GB2312"/>
          <w:sz w:val="32"/>
          <w:szCs w:val="32"/>
        </w:rPr>
        <w:t>妇女心理健康问题亟待关注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随着生活节奏加快和社会压力增大，喀喇沁旗妇女心理健康问题日益突出。但目前全旗心理健康服务资源相对匮乏，专业的心理咨询机构和人员较少，且主要集中在城区，农村地区几乎空白。许多妇女在面临工作压力、家庭矛盾、婚姻问题等困扰时，缺乏有效的心理疏导和支持渠道，心理健康问题长期积累，影响了其身心健康和生活质量。</w:t>
      </w:r>
      <w:r>
        <w:rPr>
          <w:rFonts w:ascii="仿宋_GB2312" w:hAnsi="仿宋_GB2312" w:eastAsia="仿宋_GB2312" w:cs="仿宋_GB2312"/>
          <w:b/>
          <w:sz w:val="32"/>
          <w:szCs w:val="32"/>
        </w:rPr>
        <w:t>二是</w:t>
      </w:r>
      <w:r>
        <w:rPr>
          <w:rFonts w:ascii="仿宋_GB2312" w:hAnsi="仿宋_GB2312" w:eastAsia="仿宋_GB2312" w:cs="仿宋_GB2312"/>
          <w:sz w:val="32"/>
          <w:szCs w:val="32"/>
        </w:rPr>
        <w:t>妇科疾病防治仍存在薄弱环节</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虽然妇女病普查普治工作在全旗范围内持续开展，但部分妇女对妇科疾病的重视程度不够，参与普查的积极性不高，尤其是农村地区妇女，受传统观念影响，对妇科检查存在羞涩、恐惧心理，导致一些妇科疾病未能及时发现和治疗。此外，妇科疾病防治专业技术力量不足，基层医疗机构在妇科疾病诊断和治疗方面的能力有限，对于一些疑难病症往往需要转诊上级医院，增加了妇女的就医成本和负担。</w:t>
      </w:r>
    </w:p>
    <w:p w14:paraId="58EA88E3">
      <w:pPr>
        <w:ind w:firstLine="640" w:firstLineChars="200"/>
        <w:rPr>
          <w:rFonts w:ascii="黑体" w:hAnsi="黑体" w:eastAsia="黑体" w:cs="黑体"/>
          <w:sz w:val="32"/>
          <w:szCs w:val="32"/>
        </w:rPr>
      </w:pPr>
      <w:r>
        <w:rPr>
          <w:rFonts w:hint="eastAsia" w:ascii="黑体" w:hAnsi="黑体" w:eastAsia="黑体" w:cs="黑体"/>
          <w:sz w:val="32"/>
          <w:szCs w:val="32"/>
        </w:rPr>
        <w:t>三、建议</w:t>
      </w:r>
    </w:p>
    <w:p w14:paraId="1372F1AC">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（一）优化妇女就业创业环境</w:t>
      </w:r>
      <w:r>
        <w:rPr>
          <w:rFonts w:hint="eastAsia" w:ascii="楷体_GB2312" w:hAnsi="仿宋_GB2312" w:eastAsia="楷体_GB2312" w:cs="仿宋_GB2312"/>
          <w:sz w:val="32"/>
          <w:szCs w:val="32"/>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bCs/>
          <w:sz w:val="32"/>
          <w:szCs w:val="32"/>
        </w:rPr>
        <w:t>拓宽妇女创业融资渠道</w:t>
      </w:r>
      <w:r>
        <w:rPr>
          <w:rFonts w:ascii="仿宋_GB2312" w:hAnsi="仿宋_GB2312" w:eastAsia="仿宋_GB2312" w:cs="仿宋_GB2312"/>
          <w:bCs/>
          <w:sz w:val="32"/>
          <w:szCs w:val="32"/>
        </w:rPr>
        <w:t>。</w:t>
      </w:r>
      <w:r>
        <w:rPr>
          <w:rFonts w:hint="eastAsia" w:ascii="仿宋_GB2312" w:hAnsi="仿宋_GB2312" w:eastAsia="仿宋_GB2312" w:cs="仿宋_GB2312"/>
          <w:sz w:val="32"/>
          <w:szCs w:val="32"/>
        </w:rPr>
        <w:t>政府应进一步完善妇女创业扶持政策，加大对妇女创业小额担保贷款的支持力度，简化贷款手续，提高贷款额度，延长贷款期限；探索建立妇女创业基金，吸引社会资本参与，为妇女创业提供多元化的融资渠道；加强对妇女创业项目的评估和指导，提高创业项目的质量和成功率，增强金融机构对妇女创业项目的信心，降低融资门槛。</w:t>
      </w:r>
      <w:r>
        <w:rPr>
          <w:rFonts w:hint="eastAsia" w:ascii="仿宋_GB2312" w:hAnsi="仿宋_GB2312" w:eastAsia="仿宋_GB2312" w:cs="仿宋_GB2312"/>
          <w:b/>
          <w:bCs/>
          <w:sz w:val="32"/>
          <w:szCs w:val="32"/>
        </w:rPr>
        <w:t>二是</w:t>
      </w:r>
      <w:r>
        <w:rPr>
          <w:rFonts w:hint="eastAsia" w:ascii="仿宋_GB2312" w:hAnsi="仿宋_GB2312" w:eastAsia="仿宋_GB2312" w:cs="仿宋_GB2312"/>
          <w:bCs/>
          <w:sz w:val="32"/>
          <w:szCs w:val="32"/>
        </w:rPr>
        <w:t>健全就业创业服务体系加强就业信息服务平台建设。</w:t>
      </w:r>
      <w:r>
        <w:rPr>
          <w:rFonts w:hint="eastAsia" w:ascii="仿宋_GB2312" w:hAnsi="仿宋_GB2312" w:eastAsia="仿宋_GB2312" w:cs="仿宋_GB2312"/>
          <w:sz w:val="32"/>
          <w:szCs w:val="32"/>
        </w:rPr>
        <w:t>整合各类就业信息资源，及时、准确地发布就业岗位信息，为妇女提供便捷、高效的就业信息服务；丰富创业培训内容和形式，邀请创业成功人士、专家学者等担任创业导师，开展创业案例分析、市场调研、企业管理等方面的培训课程，提高妇女的创业能力和经营管理水平；加强创业孵化基地建设，完善基地的基础设施和配套服务功能，落实各项扶持政策，为妇女创业企业提供良好的创业环境和发展空间。加强法律法规执行力度，政府相关部门要加大对就业性别歧视行为的监督和查处力度，完善投诉举报机制，依法保障妇女平等就业权利；同时，通过政策引导和宣传教育，转变用人单位的观念，营造公平公正的就业环境。</w:t>
      </w:r>
    </w:p>
    <w:p w14:paraId="3871047E">
      <w:pPr>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（二）完善职业技能培训体系。</w:t>
      </w:r>
      <w:r>
        <w:rPr>
          <w:rFonts w:hint="eastAsia" w:ascii="仿宋_GB2312" w:hAnsi="仿宋_GB2312" w:eastAsia="仿宋_GB2312" w:cs="仿宋_GB2312"/>
          <w:sz w:val="32"/>
          <w:szCs w:val="32"/>
        </w:rPr>
        <w:t>根据市场需求和妇女特点，精准制定培训计划和课程内容，加强与企业的合作，开展订单式培训、定向培训，提高培训的针对性和实效性；鼓励妇女参加各类职业技能竞赛和创业大赛，展示妇女才能，激发妇女创新创造活力。</w:t>
      </w:r>
    </w:p>
    <w:p w14:paraId="3D8DA638">
      <w:pPr>
        <w:ind w:firstLine="640" w:firstLineChars="200"/>
        <w:rPr>
          <w:rFonts w:ascii="仿宋_GB2312" w:hAnsi="仿宋_GB2312" w:eastAsia="仿宋_GB2312" w:cs="仿宋_GB2312"/>
          <w:sz w:val="32"/>
          <w:szCs w:val="32"/>
        </w:rPr>
      </w:pPr>
      <w:r>
        <w:rPr>
          <w:rFonts w:hint="eastAsia" w:ascii="楷体_GB2312" w:hAnsi="仿宋_GB2312" w:eastAsia="楷体_GB2312" w:cs="仿宋_GB2312"/>
          <w:bCs/>
          <w:sz w:val="32"/>
          <w:szCs w:val="32"/>
        </w:rPr>
        <w:t>（三）推动家庭与工作平衡政策的落实完善生育保障制度。</w:t>
      </w:r>
      <w:r>
        <w:rPr>
          <w:rFonts w:hint="eastAsia" w:ascii="仿宋_GB2312" w:hAnsi="仿宋_GB2312" w:eastAsia="仿宋_GB2312" w:cs="仿宋_GB2312"/>
          <w:sz w:val="32"/>
          <w:szCs w:val="32"/>
        </w:rPr>
        <w:t>延长产假、陪产假，探索实施育儿假等政策，减轻家庭生育养育负担；加快发展托育服务事业，鼓励社会力量参与托育服务机构建设，提供多元化、多层次的托育服务，缓解妇女育儿压力；倡导家庭成员共同承担家庭责任，营造有利于妇女平衡工作与家庭的社会氛围。</w:t>
      </w:r>
    </w:p>
    <w:p w14:paraId="1144A7F2">
      <w:pPr>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（四）优化教育资源配置，推动妇女教育公平发展。</w:t>
      </w:r>
      <w:r>
        <w:rPr>
          <w:rFonts w:hint="eastAsia" w:ascii="仿宋_GB2312" w:hAnsi="仿宋_GB2312" w:eastAsia="仿宋_GB2312" w:cs="仿宋_GB2312"/>
          <w:b/>
          <w:bCs/>
          <w:sz w:val="32"/>
          <w:szCs w:val="32"/>
        </w:rPr>
        <w:t>一是</w:t>
      </w:r>
      <w:r>
        <w:rPr>
          <w:rFonts w:hint="eastAsia" w:ascii="仿宋_GB2312" w:hAnsi="仿宋_GB2312" w:eastAsia="仿宋_GB2312" w:cs="仿宋_GB2312"/>
          <w:bCs/>
          <w:sz w:val="32"/>
          <w:szCs w:val="32"/>
        </w:rPr>
        <w:t>加强农村教育投入。</w:t>
      </w:r>
      <w:r>
        <w:rPr>
          <w:rFonts w:hint="eastAsia" w:ascii="仿宋_GB2312" w:hAnsi="仿宋_GB2312" w:eastAsia="仿宋_GB2312" w:cs="仿宋_GB2312"/>
          <w:sz w:val="32"/>
          <w:szCs w:val="32"/>
        </w:rPr>
        <w:t>进一步加大对农村地区教育的资金投入，改善农村学校的办学条件，加强师资队伍建设。通过实施城乡教师交流轮岗制度、教师培训计划等措施，提高农村教师的教学水平和业务能力；加强农村学校信息化建设，推进优质教育资源共享，确保农村女童能够享受到与城市女童同等质量的教育。</w:t>
      </w:r>
      <w:r>
        <w:rPr>
          <w:rFonts w:hint="eastAsia" w:ascii="仿宋_GB2312" w:hAnsi="仿宋_GB2312" w:eastAsia="仿宋_GB2312" w:cs="仿宋_GB2312"/>
          <w:b/>
          <w:bCs/>
          <w:sz w:val="32"/>
          <w:szCs w:val="32"/>
        </w:rPr>
        <w:t>二是</w:t>
      </w:r>
      <w:r>
        <w:rPr>
          <w:rFonts w:hint="eastAsia" w:ascii="仿宋_GB2312" w:hAnsi="仿宋_GB2312" w:eastAsia="仿宋_GB2312" w:cs="仿宋_GB2312"/>
          <w:bCs/>
          <w:sz w:val="32"/>
          <w:szCs w:val="32"/>
        </w:rPr>
        <w:t>深化职业教育改革职业教育院校应紧密结合市场需求和女性就业特点，优化专业设置。</w:t>
      </w:r>
      <w:r>
        <w:rPr>
          <w:rFonts w:hint="eastAsia" w:ascii="仿宋_GB2312" w:hAnsi="仿宋_GB2312" w:eastAsia="仿宋_GB2312" w:cs="仿宋_GB2312"/>
          <w:sz w:val="32"/>
          <w:szCs w:val="32"/>
        </w:rPr>
        <w:t>加强对市场需求的调研分析，及时调整和新增符合市场发展趋势的专业，如养老服务、健康管理、电子商务等；加强校企合作，建立实习实训基地，开展订单式培养，提高女性职业教育毕业生的就业对口率和就业质量；鼓励和支持职业院校与企业联合开展职业技能培训和鉴定，为妇女提供多样化的技能提升途径。</w:t>
      </w:r>
    </w:p>
    <w:p w14:paraId="3142011C">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（五）加强健康服务保障，提升妇女身心健康水平</w:t>
      </w:r>
      <w:r>
        <w:rPr>
          <w:rFonts w:hint="eastAsia" w:ascii="楷体_GB2312" w:hAnsi="仿宋_GB2312" w:eastAsia="楷体_GB2312" w:cs="仿宋_GB2312"/>
          <w:sz w:val="32"/>
          <w:szCs w:val="32"/>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bCs/>
          <w:sz w:val="32"/>
          <w:szCs w:val="32"/>
        </w:rPr>
        <w:t>加强妇女心理健康服务服务机构的投入。</w:t>
      </w:r>
      <w:r>
        <w:rPr>
          <w:rFonts w:hint="eastAsia" w:ascii="仿宋_GB2312" w:hAnsi="仿宋_GB2312" w:eastAsia="仿宋_GB2312" w:cs="仿宋_GB2312"/>
          <w:sz w:val="32"/>
          <w:szCs w:val="32"/>
        </w:rPr>
        <w:t>培养和引进专业的心理咨询师和治疗师，建立覆盖城乡的心理健康服务网络；在农村和社区设立心理咨询室或服务站点，定期开展心理健康知识讲座、心理咨询活动等，为妇女提供便捷的心理服务；加强对妇女心理健康问题的研究和干预，针对不同年龄段、不同职业妇女的心理特点和需求，制定个性化的心理健康服务方案，提高妇女心理健康水平。</w:t>
      </w:r>
      <w:r>
        <w:rPr>
          <w:rFonts w:hint="eastAsia" w:ascii="仿宋_GB2312" w:hAnsi="仿宋_GB2312" w:eastAsia="仿宋_GB2312" w:cs="仿宋_GB2312"/>
          <w:b/>
          <w:bCs/>
          <w:sz w:val="32"/>
          <w:szCs w:val="32"/>
        </w:rPr>
        <w:t>二是</w:t>
      </w:r>
      <w:r>
        <w:rPr>
          <w:rFonts w:hint="eastAsia" w:ascii="仿宋_GB2312" w:hAnsi="仿宋_GB2312" w:eastAsia="仿宋_GB2312" w:cs="仿宋_GB2312"/>
          <w:bCs/>
          <w:sz w:val="32"/>
          <w:szCs w:val="32"/>
        </w:rPr>
        <w:t>强化妇科疾病防治工作加大对妇科疾病防治知识的宣传普及力度。</w:t>
      </w:r>
      <w:r>
        <w:rPr>
          <w:rFonts w:hint="eastAsia" w:ascii="仿宋_GB2312" w:hAnsi="仿宋_GB2312" w:eastAsia="仿宋_GB2312" w:cs="仿宋_GB2312"/>
          <w:sz w:val="32"/>
          <w:szCs w:val="32"/>
        </w:rPr>
        <w:t>创新宣传方式和载体，通过开展健康讲座、发放宣传资料、新媒体宣传等多种形式，提高妇女对妇科疾病的认知程度和重视程度，增强自我保健意识；优化妇女病普查普治工作机制，简化普查流程，提高普查服务质量，加强对普查结果的跟踪管理和服务，确保患病妇女能够得到及时有效的治疗；加强基层医疗卫生机构妇科疾病防治能力建设，通过培训、进修等方式完善妇女心理健康服务体系加大对心理健康服务机构的投入，培养专业的心理咨询师和治疗师，特别是加强对基层心理健康服务人员的培训；在社区、学校、企事业单位等场所建立心理健康服务站点，开展心理健康知识普及和心理咨询服务活动，提高妇女心理健康意识和自我调节能力。</w:t>
      </w:r>
    </w:p>
    <w:p w14:paraId="5D5C6C5F">
      <w:pPr>
        <w:pStyle w:val="11"/>
        <w:widowControl/>
        <w:spacing w:beforeAutospacing="0" w:afterAutospacing="0" w:line="560" w:lineRule="exact"/>
        <w:ind w:firstLine="660"/>
        <w:rPr>
          <w:rFonts w:ascii="楷体_GB2312" w:hAnsi="方正楷体_GBK" w:eastAsia="楷体_GB2312" w:cs="方正楷体_GBK"/>
          <w:color w:val="000000"/>
          <w:spacing w:val="5"/>
          <w:sz w:val="32"/>
          <w:szCs w:val="32"/>
        </w:rPr>
      </w:pPr>
    </w:p>
    <w:p w14:paraId="6DF016CB">
      <w:pPr>
        <w:pStyle w:val="11"/>
        <w:widowControl/>
        <w:spacing w:beforeAutospacing="0" w:afterAutospacing="0" w:line="560" w:lineRule="exact"/>
        <w:ind w:firstLine="660"/>
        <w:rPr>
          <w:rFonts w:ascii="楷体_GB2312" w:hAnsi="方正楷体_GBK" w:eastAsia="楷体_GB2312" w:cs="方正楷体_GBK"/>
          <w:color w:val="000000"/>
          <w:spacing w:val="5"/>
          <w:sz w:val="32"/>
          <w:szCs w:val="32"/>
        </w:rPr>
      </w:pPr>
    </w:p>
    <w:p w14:paraId="4847E96F">
      <w:pPr>
        <w:pStyle w:val="11"/>
        <w:widowControl/>
        <w:spacing w:beforeAutospacing="0" w:afterAutospacing="0" w:line="560" w:lineRule="exact"/>
        <w:ind w:firstLine="660"/>
        <w:rPr>
          <w:rFonts w:ascii="楷体_GB2312" w:hAnsi="方正楷体_GBK" w:eastAsia="楷体_GB2312" w:cs="方正楷体_GBK"/>
          <w:color w:val="000000"/>
          <w:spacing w:val="5"/>
          <w:sz w:val="32"/>
          <w:szCs w:val="32"/>
        </w:rPr>
      </w:pPr>
    </w:p>
    <w:p w14:paraId="6F2A7BDD">
      <w:pPr>
        <w:pStyle w:val="11"/>
        <w:widowControl/>
        <w:spacing w:beforeAutospacing="0" w:afterAutospacing="0" w:line="560" w:lineRule="exact"/>
        <w:ind w:firstLine="660"/>
        <w:rPr>
          <w:rFonts w:ascii="楷体_GB2312" w:hAnsi="方正楷体_GBK" w:eastAsia="楷体_GB2312" w:cs="方正楷体_GBK"/>
          <w:color w:val="000000"/>
          <w:spacing w:val="5"/>
          <w:sz w:val="32"/>
          <w:szCs w:val="32"/>
        </w:rPr>
      </w:pPr>
    </w:p>
    <w:p w14:paraId="7C6F4ADE">
      <w:pPr>
        <w:pStyle w:val="11"/>
        <w:widowControl/>
        <w:spacing w:beforeAutospacing="0" w:afterAutospacing="0" w:line="560" w:lineRule="exact"/>
        <w:ind w:firstLine="660"/>
        <w:rPr>
          <w:rFonts w:ascii="楷体_GB2312" w:hAnsi="方正楷体_GBK" w:eastAsia="楷体_GB2312" w:cs="方正楷体_GBK"/>
          <w:color w:val="000000"/>
          <w:spacing w:val="5"/>
          <w:sz w:val="32"/>
          <w:szCs w:val="32"/>
        </w:rPr>
      </w:pPr>
    </w:p>
    <w:p w14:paraId="726F295E">
      <w:pPr>
        <w:pStyle w:val="11"/>
        <w:widowControl/>
        <w:spacing w:beforeAutospacing="0" w:afterAutospacing="0" w:line="560" w:lineRule="exact"/>
        <w:ind w:firstLine="660"/>
        <w:rPr>
          <w:rFonts w:ascii="楷体_GB2312" w:hAnsi="方正楷体_GBK" w:eastAsia="楷体_GB2312" w:cs="方正楷体_GBK"/>
          <w:color w:val="000000"/>
          <w:spacing w:val="5"/>
          <w:sz w:val="32"/>
          <w:szCs w:val="32"/>
        </w:rPr>
      </w:pPr>
    </w:p>
    <w:p w14:paraId="46A07036">
      <w:pPr>
        <w:pStyle w:val="11"/>
        <w:widowControl/>
        <w:spacing w:beforeAutospacing="0" w:afterAutospacing="0" w:line="560" w:lineRule="exact"/>
        <w:ind w:firstLine="660"/>
        <w:rPr>
          <w:rFonts w:ascii="楷体_GB2312" w:hAnsi="方正楷体_GBK" w:eastAsia="楷体_GB2312" w:cs="方正楷体_GBK"/>
          <w:color w:val="000000"/>
          <w:spacing w:val="5"/>
          <w:sz w:val="32"/>
          <w:szCs w:val="32"/>
        </w:rPr>
      </w:pPr>
    </w:p>
    <w:p w14:paraId="66601F24">
      <w:pPr>
        <w:pStyle w:val="11"/>
        <w:widowControl/>
        <w:spacing w:beforeAutospacing="0" w:afterAutospacing="0" w:line="560" w:lineRule="exact"/>
        <w:ind w:firstLine="660"/>
        <w:rPr>
          <w:rFonts w:ascii="楷体_GB2312" w:hAnsi="方正楷体_GBK" w:eastAsia="楷体_GB2312" w:cs="方正楷体_GBK"/>
          <w:color w:val="000000"/>
          <w:spacing w:val="5"/>
          <w:sz w:val="32"/>
          <w:szCs w:val="32"/>
        </w:rPr>
      </w:pPr>
    </w:p>
    <w:p w14:paraId="4B01816B">
      <w:pPr>
        <w:pStyle w:val="11"/>
        <w:widowControl/>
        <w:spacing w:beforeAutospacing="0" w:afterAutospacing="0" w:line="560" w:lineRule="exact"/>
        <w:ind w:firstLine="660"/>
        <w:rPr>
          <w:rFonts w:ascii="楷体_GB2312" w:hAnsi="方正楷体_GBK" w:eastAsia="楷体_GB2312" w:cs="方正楷体_GBK"/>
          <w:color w:val="000000"/>
          <w:spacing w:val="5"/>
          <w:sz w:val="32"/>
          <w:szCs w:val="32"/>
        </w:rPr>
      </w:pPr>
    </w:p>
    <w:p w14:paraId="1289D056">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提案编号：036</w:t>
      </w:r>
    </w:p>
    <w:p w14:paraId="1990ED91">
      <w:pPr>
        <w:topLinePunct/>
        <w:spacing w:line="560" w:lineRule="exact"/>
        <w:rPr>
          <w:rFonts w:ascii="楷体_GB2312" w:hAnsi="Times New Roman" w:eastAsia="楷体_GB2312" w:cs="Times New Roman"/>
          <w:sz w:val="32"/>
          <w:szCs w:val="32"/>
        </w:rPr>
      </w:pPr>
      <w:r>
        <w:rPr>
          <w:rFonts w:hint="eastAsia" w:ascii="楷体_GB2312" w:hAnsi="方正楷体_GBK" w:eastAsia="楷体_GB2312" w:cs="方正楷体_GBK"/>
          <w:color w:val="000000"/>
          <w:spacing w:val="5"/>
          <w:sz w:val="32"/>
          <w:szCs w:val="32"/>
        </w:rPr>
        <w:t>提案名称：</w:t>
      </w:r>
      <w:r>
        <w:rPr>
          <w:rFonts w:hint="eastAsia" w:ascii="楷体_GB2312" w:hAnsi="Times New Roman" w:eastAsia="楷体_GB2312" w:cs="Times New Roman"/>
          <w:sz w:val="32"/>
          <w:szCs w:val="32"/>
        </w:rPr>
        <w:t>关于对老年代步车合法监管的提案</w:t>
      </w:r>
    </w:p>
    <w:p w14:paraId="31DA68E4">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 案 人：王娟娟</w:t>
      </w:r>
    </w:p>
    <w:p w14:paraId="2BF7C394">
      <w:pPr>
        <w:spacing w:line="560" w:lineRule="exact"/>
        <w:rPr>
          <w:rFonts w:ascii="楷体_GB2312" w:hAnsi="华文仿宋" w:eastAsia="楷体_GB2312" w:cs="华文仿宋"/>
          <w:sz w:val="32"/>
          <w:szCs w:val="32"/>
        </w:rPr>
      </w:pPr>
      <w:r>
        <w:rPr>
          <w:rFonts w:hint="eastAsia" w:ascii="楷体_GB2312" w:hAnsi="方正楷体_GBK" w:eastAsia="楷体_GB2312" w:cs="方正楷体_GBK"/>
          <w:color w:val="000000"/>
          <w:spacing w:val="5"/>
          <w:sz w:val="32"/>
          <w:szCs w:val="32"/>
        </w:rPr>
        <w:t>联系方式：18648353635</w:t>
      </w:r>
    </w:p>
    <w:p w14:paraId="0364E1CF">
      <w:pPr>
        <w:pStyle w:val="11"/>
        <w:widowControl/>
        <w:tabs>
          <w:tab w:val="center" w:pos="4153"/>
        </w:tabs>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界    别：中国共产党</w:t>
      </w:r>
    </w:p>
    <w:p w14:paraId="5E9A07E6">
      <w:pPr>
        <w:topLinePunct/>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关于对老年代步车合法监管的提案</w:t>
      </w:r>
    </w:p>
    <w:p w14:paraId="048D3799">
      <w:pPr>
        <w:pStyle w:val="5"/>
        <w:ind w:firstLine="640"/>
        <w:jc w:val="center"/>
        <w:rPr>
          <w:rFonts w:ascii="楷体_GB2312" w:hAnsi="楷体_GB2312" w:eastAsia="楷体_GB2312" w:cs="楷体_GB2312"/>
        </w:rPr>
      </w:pPr>
    </w:p>
    <w:p w14:paraId="3845D06E">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随着社会的发展，人们的生活水平不断提高，一种名为老年代步车的交通工具应运而生，并且逐渐风靡起来。老年代步车作为一种新型的交通工具，为老年人出行方面提供了一定的便利。然而，随着老年代步车的数量不断增加，也带来了一些安全隐患和管理问题。老年代步车的使用者大多是老年人，他们的身体状况和反应能力可能相对较弱，因此，对于老年代步车上路，我们需要进行深入地思考。老年代步车从字面意义上不难理解，即专为老年人群提供服务的产品，老年代步车真正意义上不是规范的商品名称，只是销售商或厂家的一种商业说法，是其为满足老年消费者而自行延伸出来的产品，而真正的老年代步车实则为医疗器械的一种，其速度基本控制在5—10公里/小时以下，以速度低、刹车灵、安全可靠、方便为标准，而且是不能在机动车道上行驶的。目前，在公路上行驶的老年代步车主要是以蓄电池或者燃油驱动的非法组装、拼装的二轮或者四轮车辆，速度可达40—50公里/小时。</w:t>
      </w:r>
    </w:p>
    <w:p w14:paraId="570D8431">
      <w:pPr>
        <w:topLinePunct/>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一、老年代步车存在的问题</w:t>
      </w:r>
    </w:p>
    <w:p w14:paraId="4530B7A1">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（一）出厂无专业质检，安全隐患大。</w:t>
      </w:r>
      <w:r>
        <w:rPr>
          <w:rFonts w:hint="eastAsia" w:ascii="仿宋_GB2312" w:hAnsi="Times New Roman" w:eastAsia="仿宋_GB2312" w:cs="Times New Roman"/>
          <w:sz w:val="32"/>
          <w:szCs w:val="32"/>
        </w:rPr>
        <w:t>目前的老年代步车内部的动力操作系统基本与机动车没什么区别，油门、刹车、挡位一应俱全，车体底盘轻、前后轴距短、起步快、稳定低、极易发生侧翻，刹车系统零部件易磨损，故障率高，刹车构件多为抱刹，制动踏板行程长，加之车辆出厂未做碰撞试验，也未做任何安全措施，老年人反应又较慢，有些老年人甚至用其接送学生，安全事故随时可能发生并危及周围人群。</w:t>
      </w:r>
    </w:p>
    <w:p w14:paraId="1DA44DA5">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（二）发生交通事故赔偿难度较大，受害人权益得不到保障。</w:t>
      </w:r>
      <w:r>
        <w:rPr>
          <w:rFonts w:hint="eastAsia" w:ascii="仿宋_GB2312" w:hAnsi="Times New Roman" w:eastAsia="仿宋_GB2312" w:cs="Times New Roman"/>
          <w:sz w:val="32"/>
          <w:szCs w:val="32"/>
        </w:rPr>
        <w:t>根据《中华人民共和国道路交通安全法》的规定，机动车经公安机关交通管理部门登记后，方可上路行驶。只有在《道路机动车辆生产企业及产品公告》登记范围之内的机动车，车管部门才给予上牌照，而当前各地老年代步车根本不在上牌登记目录范围内，因没有合法的登记手续，没有牌照和保险，一旦发生交通安全事故，车辆和乘客损伤将没有保障，一旦肇事者逃逸，对肇事车辆也难以追查，受害人更无法得到有效的赔偿。老年代步车的使用者大多没有经过专业驾驶培训，他们对基本的交通法律法规不熟悉，对基本的通行规则缺乏了解，导致老年人在驾驶过程中经常发生闯红灯、占用快速车道、不避让、乱掉头、越线停车、违法乱停放、逆向行驶、在非机动车道内行驶等违法违章行为，同时因动力不足，在城市道路行驶时，使本就拥堵的道路更雪上加霜。</w:t>
      </w:r>
    </w:p>
    <w:p w14:paraId="10ABFF3D">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（三）非法营运，影响正常交通管理秩序。</w:t>
      </w:r>
      <w:r>
        <w:rPr>
          <w:rFonts w:hint="eastAsia" w:ascii="仿宋_GB2312" w:hAnsi="Times New Roman" w:eastAsia="仿宋_GB2312" w:cs="Times New Roman"/>
          <w:sz w:val="32"/>
          <w:szCs w:val="32"/>
        </w:rPr>
        <w:t>个别老年代步车以营利为目的，在车站、医院、商场、超市、学校、广场等地区周边从事非法营运活动，扰乱交通管理秩序，给客运市场造成混乱，损害了出租车主利益，从而引发其他一系列问题。</w:t>
      </w:r>
    </w:p>
    <w:p w14:paraId="1132AEB5">
      <w:pPr>
        <w:topLinePunct/>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二、存在问题的主要原因</w:t>
      </w:r>
    </w:p>
    <w:p w14:paraId="715B555C">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（一）利益诱惑。</w:t>
      </w:r>
      <w:r>
        <w:rPr>
          <w:rFonts w:hint="eastAsia" w:ascii="仿宋_GB2312" w:hAnsi="Times New Roman" w:eastAsia="仿宋_GB2312" w:cs="Times New Roman"/>
          <w:sz w:val="32"/>
          <w:szCs w:val="32"/>
        </w:rPr>
        <w:t>一些生产厂家为使利润最大化，完全用质次价低的零部件充当合格零件进行装配，没有专业的生产检验线，只是几名工人用锤子、菜刀等简单工具闭门造车，随意拼装，有些厂家甚至倒卖其他汽车厂家生产的小排量低配置的小汽车，将其标识进行更换便充当老年代步车。</w:t>
      </w:r>
    </w:p>
    <w:p w14:paraId="34D8F416">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（二）市场需求。</w:t>
      </w:r>
      <w:r>
        <w:rPr>
          <w:rFonts w:hint="eastAsia" w:ascii="仿宋_GB2312" w:hAnsi="Times New Roman" w:eastAsia="仿宋_GB2312" w:cs="Times New Roman"/>
          <w:sz w:val="32"/>
          <w:szCs w:val="32"/>
        </w:rPr>
        <w:t>一部分人出于真正生活需求，而有些则是子女为了表示孝敬老人，认为老年代步车能方便老人出行，作为礼物送给老人，另一部分则出于跟风，看别人有自己也想拥有。</w:t>
      </w:r>
    </w:p>
    <w:p w14:paraId="7AB87F63">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（三）法律法规的不完善。</w:t>
      </w:r>
      <w:r>
        <w:rPr>
          <w:rFonts w:hint="eastAsia" w:ascii="仿宋_GB2312" w:hAnsi="Times New Roman" w:eastAsia="仿宋_GB2312" w:cs="Times New Roman"/>
          <w:sz w:val="32"/>
          <w:szCs w:val="32"/>
        </w:rPr>
        <w:t>目前，国家相关法律法规对老年代步车的管理没有做出明确规定，相关部门对老年代步车行驶很难监管，对其驾驶者也只能进行劝导，有时商家在售车时往往只简单地提供相应的证明文件，从而造成了老年代步车无法挂牌管理的尴尬局面。</w:t>
      </w:r>
    </w:p>
    <w:p w14:paraId="48313878">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（四）隐蔽性强、难发现。</w:t>
      </w:r>
      <w:r>
        <w:rPr>
          <w:rFonts w:hint="eastAsia" w:ascii="仿宋_GB2312" w:hAnsi="Times New Roman" w:eastAsia="仿宋_GB2312" w:cs="Times New Roman"/>
          <w:sz w:val="32"/>
          <w:szCs w:val="32"/>
        </w:rPr>
        <w:t>一些厂家为了逃避监管部门的管理，通常把生产线设在隐蔽的地方，从外看根本看不出是制造老年代步车的地方，有些则有专用监控设备，专人把守，一般人很难进去，有的则是在人烟稀少的偏远地方生产，这给监管部门带来了一定的难度。</w:t>
      </w:r>
    </w:p>
    <w:p w14:paraId="0CDB4186">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老年代步车是一种低速电动车，通常用于老年人出行。然而，由于缺乏规范管理和安全标准，老年代步车在道路上存在一些安全隐患。</w:t>
      </w:r>
    </w:p>
    <w:p w14:paraId="34B28B7D">
      <w:pPr>
        <w:topLinePunct/>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三、几点建议</w:t>
      </w:r>
    </w:p>
    <w:p w14:paraId="0FCCA9F6">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（一）建立健全法律法规标准。</w:t>
      </w:r>
      <w:r>
        <w:rPr>
          <w:rFonts w:hint="eastAsia" w:ascii="仿宋_GB2312" w:hAnsi="Times New Roman" w:eastAsia="仿宋_GB2312" w:cs="Times New Roman"/>
          <w:sz w:val="32"/>
          <w:szCs w:val="32"/>
        </w:rPr>
        <w:t>政府应制定专门针对老年代步车的法律法规和标准，明确其定义、尺寸、速度限制、安全配置等要求。设立专门的机构来监督和执行。这样可以确保老年代步车在道路上行驶的安全性，减少交通事故的发生。</w:t>
      </w:r>
    </w:p>
    <w:p w14:paraId="0C3D6A4B">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（二）加强登记上牌管理。</w:t>
      </w:r>
      <w:r>
        <w:rPr>
          <w:rFonts w:hint="eastAsia" w:ascii="仿宋_GB2312" w:hAnsi="Times New Roman" w:eastAsia="仿宋_GB2312" w:cs="Times New Roman"/>
          <w:sz w:val="32"/>
          <w:szCs w:val="32"/>
        </w:rPr>
        <w:t>要求所有老年代步车进行登记和上牌照，并建立相应的数据库。登记时应包括车辆信息、车主信息以及联系方式等，以便管理部门进行监管和追溯。</w:t>
      </w:r>
    </w:p>
    <w:p w14:paraId="507A6437">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（三）开展安全培训和考试。</w:t>
      </w:r>
      <w:r>
        <w:rPr>
          <w:rFonts w:hint="eastAsia" w:ascii="仿宋_GB2312" w:hAnsi="Times New Roman" w:eastAsia="仿宋_GB2312" w:cs="Times New Roman"/>
          <w:sz w:val="32"/>
          <w:szCs w:val="32"/>
        </w:rPr>
        <w:t>在老年代步车正常上路行驶之前，应接受一定的安全培训，并通过相应的考试。培训内容包括交通规则、驾驶技巧、安全意识等，以增强车主的交通安全意识和驾驶水平。</w:t>
      </w:r>
    </w:p>
    <w:p w14:paraId="153DB0C1">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（四）严格执法和监管。</w:t>
      </w:r>
      <w:r>
        <w:rPr>
          <w:rFonts w:hint="eastAsia" w:ascii="仿宋_GB2312" w:hAnsi="Times New Roman" w:eastAsia="仿宋_GB2312" w:cs="Times New Roman"/>
          <w:sz w:val="32"/>
          <w:szCs w:val="32"/>
        </w:rPr>
        <w:t>交通管理部门应加强对老年代步车的执法和监管力度，严厉打击无牌无证、超速行驶、违规载人等违法行为。同时，要加强对老年代步车生产和销售企业的监管，确保产品质量符合安全标准。</w:t>
      </w:r>
    </w:p>
    <w:p w14:paraId="2E82CF39">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（五）推广新能源老年代步车。</w:t>
      </w:r>
      <w:r>
        <w:rPr>
          <w:rFonts w:hint="eastAsia" w:ascii="仿宋_GB2312" w:hAnsi="Times New Roman" w:eastAsia="仿宋_GB2312" w:cs="Times New Roman"/>
          <w:sz w:val="32"/>
          <w:szCs w:val="32"/>
        </w:rPr>
        <w:t>鼓励生产和销售新能源老年代步车，如电动老年代步车。这样可以减少对环境的污染，同时也有助于推动新能源汽车产业的发展。推动政府、企业和公众之间的交流合作，共同推动老年代步车的健康发展。</w:t>
      </w:r>
    </w:p>
    <w:p w14:paraId="7B76263F">
      <w:pPr>
        <w:topLinePunct/>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32"/>
        </w:rPr>
        <w:t>（六）加强公众和社会媒体的舆论监督作用。</w:t>
      </w:r>
      <w:r>
        <w:rPr>
          <w:rFonts w:hint="eastAsia" w:ascii="仿宋_GB2312" w:hAnsi="Times New Roman" w:eastAsia="仿宋_GB2312" w:cs="Times New Roman"/>
          <w:sz w:val="32"/>
          <w:szCs w:val="32"/>
        </w:rPr>
        <w:t>揭露和批评违法违规行为，引导社会公众正确认识和使用老年代步车，应提高对老年代步车监管的认识，积极参与到监督工作中。通过举报、投诉、社会媒体曝光等方式，揭露因老年代步车所引发的各种违法违规行为。通过以上建议的实施，才能更好地发挥老年代步车的作用，为老年人的出行提供便利。提高道路交通安全水平，保障老年人和其他使用者的生命安全。</w:t>
      </w:r>
    </w:p>
    <w:p w14:paraId="460549A7"/>
    <w:p w14:paraId="3521084C">
      <w:pPr>
        <w:rPr>
          <w:rFonts w:ascii="楷体_GB2312" w:hAnsi="楷体_GB2312" w:eastAsia="楷体_GB2312" w:cs="楷体_GB2312"/>
          <w:sz w:val="32"/>
          <w:szCs w:val="32"/>
        </w:rPr>
      </w:pPr>
    </w:p>
    <w:p w14:paraId="4A6451AB">
      <w:pPr>
        <w:rPr>
          <w:rFonts w:ascii="楷体_GB2312" w:hAnsi="楷体_GB2312" w:eastAsia="楷体_GB2312" w:cs="楷体_GB2312"/>
          <w:sz w:val="32"/>
          <w:szCs w:val="32"/>
        </w:rPr>
      </w:pPr>
    </w:p>
    <w:p w14:paraId="01D15AC8">
      <w:pPr>
        <w:rPr>
          <w:rFonts w:ascii="楷体_GB2312" w:hAnsi="楷体_GB2312" w:eastAsia="楷体_GB2312" w:cs="楷体_GB2312"/>
          <w:sz w:val="32"/>
          <w:szCs w:val="32"/>
        </w:rPr>
      </w:pPr>
    </w:p>
    <w:p w14:paraId="02E0773C">
      <w:pPr>
        <w:rPr>
          <w:rFonts w:ascii="楷体_GB2312" w:hAnsi="楷体_GB2312" w:eastAsia="楷体_GB2312" w:cs="楷体_GB2312"/>
          <w:sz w:val="32"/>
          <w:szCs w:val="32"/>
        </w:rPr>
      </w:pPr>
    </w:p>
    <w:p w14:paraId="6AB2D1C7">
      <w:pPr>
        <w:rPr>
          <w:rFonts w:ascii="楷体_GB2312" w:hAnsi="楷体_GB2312" w:eastAsia="楷体_GB2312" w:cs="楷体_GB2312"/>
          <w:sz w:val="32"/>
          <w:szCs w:val="32"/>
        </w:rPr>
      </w:pPr>
    </w:p>
    <w:p w14:paraId="7081B7B2">
      <w:pPr>
        <w:rPr>
          <w:rFonts w:ascii="楷体_GB2312" w:hAnsi="楷体_GB2312" w:eastAsia="楷体_GB2312" w:cs="楷体_GB2312"/>
          <w:sz w:val="32"/>
          <w:szCs w:val="32"/>
        </w:rPr>
      </w:pPr>
    </w:p>
    <w:p w14:paraId="0A468C08">
      <w:pPr>
        <w:rPr>
          <w:rFonts w:ascii="楷体_GB2312" w:hAnsi="楷体_GB2312" w:eastAsia="楷体_GB2312" w:cs="楷体_GB2312"/>
          <w:sz w:val="32"/>
          <w:szCs w:val="32"/>
        </w:rPr>
      </w:pPr>
    </w:p>
    <w:p w14:paraId="4EAAC992">
      <w:pPr>
        <w:rPr>
          <w:rFonts w:ascii="楷体_GB2312" w:hAnsi="楷体_GB2312" w:eastAsia="楷体_GB2312" w:cs="楷体_GB2312"/>
          <w:sz w:val="32"/>
          <w:szCs w:val="32"/>
        </w:rPr>
      </w:pPr>
    </w:p>
    <w:p w14:paraId="3372C41D">
      <w:pPr>
        <w:rPr>
          <w:rFonts w:ascii="楷体_GB2312" w:hAnsi="楷体_GB2312" w:eastAsia="楷体_GB2312" w:cs="楷体_GB2312"/>
          <w:sz w:val="32"/>
          <w:szCs w:val="32"/>
        </w:rPr>
      </w:pPr>
    </w:p>
    <w:p w14:paraId="5875D1C8">
      <w:pPr>
        <w:rPr>
          <w:rFonts w:ascii="楷体_GB2312" w:hAnsi="楷体_GB2312" w:eastAsia="楷体_GB2312" w:cs="楷体_GB2312"/>
          <w:sz w:val="32"/>
          <w:szCs w:val="32"/>
        </w:rPr>
      </w:pPr>
    </w:p>
    <w:p w14:paraId="65968108">
      <w:pPr>
        <w:rPr>
          <w:rFonts w:ascii="楷体_GB2312" w:hAnsi="楷体_GB2312" w:eastAsia="楷体_GB2312" w:cs="楷体_GB2312"/>
          <w:sz w:val="32"/>
          <w:szCs w:val="32"/>
        </w:rPr>
      </w:pPr>
    </w:p>
    <w:p w14:paraId="5C5367F2">
      <w:pPr>
        <w:rPr>
          <w:rFonts w:ascii="楷体_GB2312" w:hAnsi="楷体_GB2312" w:eastAsia="楷体_GB2312" w:cs="楷体_GB2312"/>
          <w:sz w:val="32"/>
          <w:szCs w:val="32"/>
        </w:rPr>
      </w:pPr>
    </w:p>
    <w:p w14:paraId="21FE7122">
      <w:pPr>
        <w:rPr>
          <w:rFonts w:ascii="楷体_GB2312" w:hAnsi="楷体_GB2312" w:eastAsia="楷体_GB2312" w:cs="楷体_GB2312"/>
          <w:sz w:val="32"/>
          <w:szCs w:val="32"/>
        </w:rPr>
      </w:pPr>
    </w:p>
    <w:p w14:paraId="4FF4DD4B">
      <w:pPr>
        <w:rPr>
          <w:rFonts w:ascii="楷体_GB2312" w:hAnsi="楷体_GB2312" w:eastAsia="楷体_GB2312" w:cs="楷体_GB2312"/>
          <w:sz w:val="32"/>
          <w:szCs w:val="32"/>
        </w:rPr>
      </w:pPr>
    </w:p>
    <w:p w14:paraId="4D1D63A8">
      <w:pPr>
        <w:rPr>
          <w:rFonts w:ascii="楷体_GB2312" w:hAnsi="楷体_GB2312" w:eastAsia="楷体_GB2312" w:cs="楷体_GB2312"/>
          <w:sz w:val="32"/>
          <w:szCs w:val="32"/>
        </w:rPr>
      </w:pPr>
    </w:p>
    <w:p w14:paraId="360856C8">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提案编号:037</w:t>
      </w:r>
    </w:p>
    <w:p w14:paraId="35D66162">
      <w:pPr>
        <w:ind w:left="1600" w:hanging="1600" w:hangingChars="500"/>
        <w:rPr>
          <w:rFonts w:ascii="楷体_GB2312" w:hAnsi="方正小标宋简体" w:eastAsia="楷体_GB2312" w:cs="方正小标宋简体"/>
          <w:sz w:val="32"/>
          <w:szCs w:val="32"/>
        </w:rPr>
      </w:pPr>
      <w:r>
        <w:rPr>
          <w:rFonts w:hint="eastAsia" w:ascii="楷体_GB2312" w:hAnsi="楷体_GB2312" w:eastAsia="楷体_GB2312" w:cs="楷体_GB2312"/>
          <w:sz w:val="32"/>
          <w:szCs w:val="32"/>
        </w:rPr>
        <w:t>提案名称:</w:t>
      </w:r>
      <w:r>
        <w:rPr>
          <w:rFonts w:hint="eastAsia" w:ascii="楷体_GB2312" w:hAnsi="方正小标宋简体" w:eastAsia="楷体_GB2312" w:cs="方正小标宋简体"/>
          <w:sz w:val="32"/>
          <w:szCs w:val="32"/>
        </w:rPr>
        <w:t>关于发挥中蒙医药特色优势切实保障人民群众健康的提案</w:t>
      </w:r>
    </w:p>
    <w:p w14:paraId="1EBE1575">
      <w:pPr>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人:宫兆兴</w:t>
      </w:r>
    </w:p>
    <w:p w14:paraId="53888F4F">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联系方式：15847626688</w:t>
      </w:r>
    </w:p>
    <w:p w14:paraId="73F024C7">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别:医药卫生</w:t>
      </w:r>
    </w:p>
    <w:p w14:paraId="0A9A32AE">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关于发挥中蒙医药特色优势切实保障人民群众健康的提案</w:t>
      </w:r>
    </w:p>
    <w:p w14:paraId="6004038D"/>
    <w:p w14:paraId="204290BC">
      <w:pPr>
        <w:pStyle w:val="7"/>
        <w:ind w:left="0" w:leftChars="0"/>
      </w:pPr>
      <w:r>
        <w:t>随着健康中国战略的深入实施，人民群众对优质医疗资源的需求日益增长。中蒙医药作为中华民族传统医学的重要组成部分，注重整体观念和个体化治疗，强调预防为主、防治结合，倡导通过调整人体内部环境的平衡来达到治疗疾病的目的，具有独特的理论体系、丰富的诊疗经验和显著的临床疗效。在医疗卫生事业中，充分发挥中蒙医药简、便、验、廉的特色优势，是保障人民群众身体健康的重要途径，对于满足人民群众多元化健康需求、保障心身健康具有重要意义。</w:t>
      </w:r>
    </w:p>
    <w:p w14:paraId="059EBE66">
      <w:pPr>
        <w:rPr>
          <w:rFonts w:eastAsia="黑体"/>
          <w:sz w:val="32"/>
          <w:szCs w:val="32"/>
        </w:rPr>
      </w:pPr>
      <w:r>
        <w:rPr>
          <w:rFonts w:eastAsia="黑体"/>
          <w:sz w:val="32"/>
          <w:szCs w:val="32"/>
        </w:rPr>
        <w:t>一、医院基本情况</w:t>
      </w:r>
    </w:p>
    <w:p w14:paraId="5E073EE7">
      <w:pPr>
        <w:pStyle w:val="7"/>
        <w:ind w:left="0" w:leftChars="0"/>
      </w:pPr>
      <w:r>
        <w:rPr>
          <w:rFonts w:hint="eastAsia"/>
        </w:rPr>
        <w:t>喀旗中蒙医院始建于1979年4月，是一所集医疗、预防、康复于一体的中医蒙医医院，2019年晋升为二级甲等医院。2023年5月迁入现址，占地面积1.8万</w:t>
      </w:r>
      <w:r>
        <w:rPr>
          <w:rFonts w:ascii="Segoe UI Symbol" w:hAnsi="Segoe UI Symbol" w:cs="Segoe UI Symbol"/>
        </w:rPr>
        <w:t>㎡</w:t>
      </w:r>
      <w:r>
        <w:rPr>
          <w:rFonts w:hint="eastAsia"/>
        </w:rPr>
        <w:t>，建筑面积2.7万</w:t>
      </w:r>
      <w:r>
        <w:rPr>
          <w:rFonts w:ascii="Segoe UI Symbol" w:hAnsi="Segoe UI Symbol" w:cs="Segoe UI Symbol"/>
        </w:rPr>
        <w:t>㎡</w:t>
      </w:r>
      <w:r>
        <w:rPr>
          <w:rFonts w:hint="eastAsia"/>
        </w:rPr>
        <w:t>。编制床位180张，开放床位205张，医院现有职工203人，其中卫生专业技术人员141人，中高级职称84人，中蒙医药人才梯队建设基本成型。医院现设置急诊科、糖尿病科、脑病科、心病科、脾胃病科、骨伤科、治未病科、康复理疗科等临床科室17个，医技科室9个，行政科室24个。其中康复理疗科、糖尿病科是市级重点专科。医院通过优化服务流程，拓展服务范围，加强学科建设、设备购置和人才培养，医院综合服务能力显著增强。2024年度实现门急诊84825人次、出院5041人次、事业收入4388万元，同比增长分别为17.3%、19.1%和19.2%。医院实施“名院、名科、名医”战略，努力将医院建设打造成为发挥中蒙医药特色优势、医康养护结合的现代中蒙医院。</w:t>
      </w:r>
    </w:p>
    <w:p w14:paraId="58E53092">
      <w:pPr>
        <w:rPr>
          <w:rFonts w:ascii="黑体" w:hAnsi="黑体" w:eastAsia="黑体" w:cs="黑体"/>
          <w:sz w:val="32"/>
          <w:szCs w:val="32"/>
        </w:rPr>
      </w:pPr>
      <w:r>
        <w:rPr>
          <w:rFonts w:hint="eastAsia" w:ascii="黑体" w:hAnsi="黑体" w:eastAsia="黑体" w:cs="黑体"/>
          <w:sz w:val="32"/>
          <w:szCs w:val="32"/>
        </w:rPr>
        <w:t>二、存在不足</w:t>
      </w:r>
    </w:p>
    <w:p w14:paraId="599F67A7">
      <w:pPr>
        <w:spacing w:line="520" w:lineRule="exact"/>
        <w:ind w:left="105" w:leftChars="50" w:right="105" w:rightChars="50" w:firstLine="640" w:firstLineChars="200"/>
        <w:rPr>
          <w:rFonts w:ascii="仿宋_GB2312" w:hAnsi="宋体" w:eastAsia="仿宋_GB2312" w:cs="宋体"/>
          <w:sz w:val="32"/>
          <w:szCs w:val="32"/>
        </w:rPr>
      </w:pPr>
      <w:r>
        <w:rPr>
          <w:rFonts w:hint="eastAsia" w:ascii="仿宋_GB2312" w:hAnsi="宋体" w:eastAsia="仿宋_GB2312" w:cs="宋体"/>
          <w:sz w:val="32"/>
          <w:szCs w:val="32"/>
        </w:rPr>
        <w:t>中蒙医药特色优势表现地尚不够突出，</w:t>
      </w:r>
      <w:r>
        <w:rPr>
          <w:rFonts w:hint="eastAsia" w:ascii="仿宋_GB2312" w:hAnsi="宋体" w:eastAsia="仿宋_GB2312" w:cs="宋体"/>
          <w:b/>
          <w:sz w:val="32"/>
          <w:szCs w:val="32"/>
        </w:rPr>
        <w:t>一是</w:t>
      </w:r>
      <w:r>
        <w:rPr>
          <w:rFonts w:hint="eastAsia" w:ascii="仿宋_GB2312" w:hAnsi="宋体" w:eastAsia="仿宋_GB2312" w:cs="宋体"/>
          <w:sz w:val="32"/>
          <w:szCs w:val="32"/>
        </w:rPr>
        <w:t>食药同源，在药膳方面还是空白；</w:t>
      </w:r>
      <w:r>
        <w:rPr>
          <w:rFonts w:hint="eastAsia" w:ascii="仿宋_GB2312" w:hAnsi="宋体" w:eastAsia="仿宋_GB2312" w:cs="宋体"/>
          <w:b/>
          <w:sz w:val="32"/>
          <w:szCs w:val="32"/>
        </w:rPr>
        <w:t>二是</w:t>
      </w:r>
      <w:r>
        <w:rPr>
          <w:rFonts w:hint="eastAsia" w:ascii="仿宋_GB2312" w:hAnsi="宋体" w:eastAsia="仿宋_GB2312" w:cs="宋体"/>
          <w:sz w:val="32"/>
          <w:szCs w:val="32"/>
        </w:rPr>
        <w:t>仅糖尿病科病区护理组开展药浴，未在全院形成气候；</w:t>
      </w:r>
      <w:r>
        <w:rPr>
          <w:rFonts w:hint="eastAsia" w:ascii="仿宋_GB2312" w:hAnsi="宋体" w:eastAsia="仿宋_GB2312" w:cs="宋体"/>
          <w:b/>
          <w:sz w:val="32"/>
          <w:szCs w:val="32"/>
        </w:rPr>
        <w:t>三是</w:t>
      </w:r>
      <w:r>
        <w:rPr>
          <w:rFonts w:hint="eastAsia" w:ascii="仿宋_GB2312" w:hAnsi="宋体" w:eastAsia="仿宋_GB2312" w:cs="宋体"/>
          <w:sz w:val="32"/>
          <w:szCs w:val="32"/>
        </w:rPr>
        <w:t>医院制剂仅局限于茶饮、香囊和部分膏剂，且未正式流通；</w:t>
      </w:r>
      <w:r>
        <w:rPr>
          <w:rFonts w:hint="eastAsia" w:ascii="仿宋_GB2312" w:hAnsi="宋体" w:eastAsia="仿宋_GB2312" w:cs="宋体"/>
          <w:b/>
          <w:sz w:val="32"/>
          <w:szCs w:val="32"/>
        </w:rPr>
        <w:t>四是</w:t>
      </w:r>
      <w:r>
        <w:rPr>
          <w:rFonts w:hint="eastAsia" w:ascii="仿宋_GB2312" w:hAnsi="宋体" w:eastAsia="仿宋_GB2312" w:cs="宋体"/>
          <w:sz w:val="32"/>
          <w:szCs w:val="32"/>
        </w:rPr>
        <w:t>对</w:t>
      </w:r>
      <w:r>
        <w:rPr>
          <w:rFonts w:hint="eastAsia" w:ascii="仿宋_GB2312" w:hAnsi="宋体" w:eastAsia="仿宋_GB2312" w:cs="宋体"/>
          <w:sz w:val="32"/>
          <w:szCs w:val="32"/>
          <w:lang w:val="zh-CN"/>
        </w:rPr>
        <w:t>睡眠质量</w:t>
      </w:r>
      <w:r>
        <w:rPr>
          <w:rFonts w:hint="eastAsia" w:ascii="仿宋_GB2312" w:hAnsi="宋体" w:eastAsia="仿宋_GB2312" w:cs="宋体"/>
          <w:sz w:val="32"/>
          <w:szCs w:val="32"/>
        </w:rPr>
        <w:t>监测及诊断和治疗缺乏数据。</w:t>
      </w:r>
    </w:p>
    <w:p w14:paraId="1D1C5070">
      <w:pPr>
        <w:rPr>
          <w:rFonts w:eastAsia="黑体"/>
          <w:sz w:val="32"/>
          <w:szCs w:val="32"/>
        </w:rPr>
      </w:pPr>
      <w:r>
        <w:rPr>
          <w:rFonts w:hint="eastAsia" w:eastAsia="黑体"/>
          <w:sz w:val="32"/>
          <w:szCs w:val="32"/>
        </w:rPr>
        <w:t>三</w:t>
      </w:r>
      <w:r>
        <w:rPr>
          <w:rFonts w:eastAsia="黑体"/>
          <w:sz w:val="32"/>
          <w:szCs w:val="32"/>
        </w:rPr>
        <w:t>、建议</w:t>
      </w:r>
    </w:p>
    <w:p w14:paraId="75F1BC02">
      <w:pPr>
        <w:ind w:firstLine="640" w:firstLineChars="200"/>
        <w:rPr>
          <w:rFonts w:ascii="仿宋_GB2312" w:eastAsia="仿宋_GB2312"/>
          <w:sz w:val="32"/>
          <w:szCs w:val="32"/>
        </w:rPr>
      </w:pPr>
      <w:r>
        <w:rPr>
          <w:rFonts w:hint="eastAsia" w:ascii="仿宋_GB2312" w:eastAsia="仿宋_GB2312"/>
          <w:sz w:val="32"/>
          <w:szCs w:val="32"/>
        </w:rPr>
        <w:t>医院不断加强医院管理，严格规范医疗服务行为，充分调动广大干部职工的积极性，扬优势，拓空间，补短板，强综合，中医药服务水平、诊疗效果不断提高。</w:t>
      </w:r>
    </w:p>
    <w:p w14:paraId="386784A7">
      <w:pPr>
        <w:pStyle w:val="11"/>
        <w:adjustRightInd w:val="0"/>
        <w:snapToGrid w:val="0"/>
        <w:spacing w:beforeAutospacing="0" w:afterAutospacing="0"/>
        <w:ind w:firstLine="640" w:firstLineChars="200"/>
        <w:jc w:val="both"/>
        <w:rPr>
          <w:rFonts w:ascii="仿宋_GB2312" w:eastAsia="仿宋_GB2312"/>
          <w:kern w:val="2"/>
          <w:sz w:val="32"/>
          <w:szCs w:val="32"/>
        </w:rPr>
      </w:pPr>
      <w:r>
        <w:rPr>
          <w:rFonts w:hint="eastAsia" w:ascii="楷体_GB2312" w:eastAsia="楷体_GB2312"/>
          <w:bCs/>
          <w:kern w:val="2"/>
          <w:sz w:val="32"/>
          <w:szCs w:val="32"/>
        </w:rPr>
        <w:t>（一）加强中蒙医药政策引导，积极建立发挥中蒙医药特色优势的政策措施。</w:t>
      </w:r>
      <w:r>
        <w:rPr>
          <w:rFonts w:hint="eastAsia" w:ascii="仿宋_GB2312" w:eastAsia="仿宋_GB2312"/>
          <w:kern w:val="2"/>
          <w:sz w:val="32"/>
          <w:szCs w:val="32"/>
        </w:rPr>
        <w:t>医院制定发展中长期规划，确定优先发展的重点中医药专科有6个，规划引进中医类专业技术人才20名，急诊科、糖尿病科、中医骨伤科、眼科、口腔科、治未病科得到进一步发展和建设。近年来，医院将中蒙医参与治疗率、中药使用率、中医适宜技术推广应用纳入科室年度目标责任制管理，作为评价科室、兑现奖惩的重要依据；医院制定出台了提高中医药绩效工资计提比例、减免中医诊疗设备折旧费用、加大中医科研奖励力度等措施，促进医务人员运用中医、使用中药。</w:t>
      </w:r>
    </w:p>
    <w:p w14:paraId="65E55019">
      <w:pPr>
        <w:pStyle w:val="11"/>
        <w:adjustRightInd w:val="0"/>
        <w:snapToGrid w:val="0"/>
        <w:spacing w:beforeAutospacing="0" w:afterAutospacing="0"/>
        <w:ind w:firstLine="640" w:firstLineChars="200"/>
        <w:jc w:val="both"/>
        <w:rPr>
          <w:rFonts w:ascii="仿宋_GB2312" w:eastAsia="仿宋_GB2312"/>
          <w:kern w:val="2"/>
          <w:sz w:val="32"/>
          <w:szCs w:val="32"/>
        </w:rPr>
      </w:pPr>
      <w:r>
        <w:rPr>
          <w:rFonts w:hint="eastAsia" w:ascii="楷体_GB2312" w:eastAsia="楷体_GB2312"/>
          <w:bCs/>
          <w:kern w:val="2"/>
          <w:sz w:val="32"/>
          <w:szCs w:val="32"/>
        </w:rPr>
        <w:t>（二）进一步加大内部管理力度，不断提升医院管理效益。</w:t>
      </w:r>
      <w:r>
        <w:rPr>
          <w:rFonts w:hint="eastAsia" w:ascii="仿宋_GB2312" w:eastAsia="仿宋_GB2312"/>
          <w:kern w:val="2"/>
          <w:sz w:val="32"/>
          <w:szCs w:val="32"/>
        </w:rPr>
        <w:t>医院优化人员管理，依据专长合理调配医护人员岗位，完善绩效考核，激励员工提升服务质量；规范医疗流程，梳理挂号、诊断、治疗、取药等流程，减少患者等待时间，提升患者就医体验；强化药材管理，严格把控中蒙药采购源头，确保药材地道、品质优良；完善财务管理，精细预算编制，监控资金流向，提高资金使用效益；加强医患沟通，培训医护人员沟通技巧，设立意见箱、回访制度，及时处理投诉，改进服务水平。通过抓建章立制、抓质量安全、抓作风纪律、抓绩效考核，抓增收节支，不断提升医院管理效益。</w:t>
      </w:r>
    </w:p>
    <w:p w14:paraId="649E1784">
      <w:pPr>
        <w:ind w:firstLine="640" w:firstLineChars="200"/>
        <w:rPr>
          <w:rFonts w:ascii="仿宋_GB2312" w:eastAsia="仿宋_GB2312"/>
          <w:sz w:val="32"/>
          <w:szCs w:val="32"/>
        </w:rPr>
      </w:pPr>
      <w:r>
        <w:rPr>
          <w:rFonts w:hint="eastAsia" w:ascii="楷体_GB2312" w:eastAsia="楷体_GB2312"/>
          <w:bCs/>
          <w:sz w:val="32"/>
          <w:szCs w:val="32"/>
        </w:rPr>
        <w:t>（三）大力引进先进技术力量，促进先进学术传承落地生根。</w:t>
      </w:r>
      <w:r>
        <w:rPr>
          <w:rFonts w:hint="eastAsia" w:ascii="仿宋_GB2312" w:eastAsia="仿宋_GB2312"/>
          <w:sz w:val="32"/>
          <w:szCs w:val="32"/>
        </w:rPr>
        <w:t>积极与区内外医疗机构建立合作关系，引进专家团队定期坐诊、讲学与技术指导，通过“传帮带”培养专业人才，提升中蒙医诊疗技术与科研能力，实现先进技术落地生根。依托京蒙健康帮扶行动，与北京丰盛中医骨伤专科医院建立长期的对口帮扶合作关系，成立“清宫正骨流派齐越峰教授学术经验传承工作室”，促进“清宫正骨学术传承”在我旗落地生根；与河北省沧州中西医结合医院达成长期合作关系，国内知名推拿整脊专家卢智主任在我旗收徒、授业，团队长期出诊，将“卢氏推拿整脊学术”传承到我院，全力打造区域康复中心；与乌海市蒙医中医医院建立协作关系，定期派出骨干医师到院开拓业务项目，提高业务水平，引进蒙疗、沙疗、葫芦灸等技术；引进蒙医心身互动疗法，多病同治、多人同治、心身兼治，年接待听课学员41500余人次，自行开展学员互动活动28期，使本旗及周边广大居民群众受益收获健康，受到广泛好评。</w:t>
      </w:r>
    </w:p>
    <w:p w14:paraId="5DE5E666">
      <w:pPr>
        <w:ind w:firstLine="640" w:firstLineChars="200"/>
        <w:rPr>
          <w:rFonts w:ascii="仿宋_GB2312" w:eastAsia="仿宋_GB2312"/>
          <w:sz w:val="32"/>
          <w:szCs w:val="32"/>
        </w:rPr>
      </w:pPr>
      <w:r>
        <w:rPr>
          <w:rFonts w:hint="eastAsia" w:ascii="楷体_GB2312" w:eastAsia="楷体_GB2312"/>
          <w:bCs/>
          <w:sz w:val="32"/>
          <w:szCs w:val="32"/>
        </w:rPr>
        <w:t>（四）强化优势专科建设，提升中蒙医药服务水平。</w:t>
      </w:r>
      <w:r>
        <w:rPr>
          <w:rFonts w:hint="eastAsia" w:ascii="仿宋_GB2312" w:eastAsia="仿宋_GB2312"/>
          <w:sz w:val="32"/>
          <w:szCs w:val="32"/>
        </w:rPr>
        <w:t>强化专科建设，形成了以急诊科、脑病科、心病科、治未病科、康复科为重点的科室建设格局。专科门诊量与治愈率显著提升，吸引我旗周边地区患者前来就医，品牌影响力逐步扩大。急诊科开设抢救床位、留观床位22张，设有预检分诊区、抢救区、洗胃室、急诊观察住院病房、成人及小儿输液室，同时建有中蒙药非药物疗法治疗室。治未病科与康复科、心身医学科协作，积极开展了中医体质辨识、健康咨询与指导、中医健康干预等服务项目，包括针灸、推拿、拔罐、艾灸、中药熏蒸、食疗等中医特色疗法，以及运动保健、心理调节等综合健康管理服务。年门诊人次12800人，同比增长60%，入出院诊断合格率达95%以上；门诊患者中药处方占比达60%以上，出院患者中药处方比例达70%以上，以中蒙医为主治疗出院患者比例逐年增加。同时，将治未病服务纳入家庭医生签约服务内容，签约率达71%； 65岁以上老年人和0-36个月儿童中蒙医药健康管理覆盖率分别达到了75%和82%。</w:t>
      </w:r>
    </w:p>
    <w:p w14:paraId="4DC59515">
      <w:pPr>
        <w:ind w:firstLine="640" w:firstLineChars="200"/>
        <w:rPr>
          <w:rFonts w:ascii="仿宋_GB2312" w:eastAsia="仿宋_GB2312"/>
          <w:sz w:val="32"/>
          <w:szCs w:val="32"/>
        </w:rPr>
      </w:pPr>
      <w:r>
        <w:rPr>
          <w:rFonts w:hint="eastAsia" w:ascii="楷体_GB2312" w:eastAsia="楷体_GB2312"/>
          <w:bCs/>
          <w:color w:val="000000"/>
          <w:sz w:val="32"/>
          <w:szCs w:val="32"/>
        </w:rPr>
        <w:t>（五）大力推进县域紧密型医共体建设，全面提升中蒙医药服务水平。</w:t>
      </w:r>
      <w:r>
        <w:rPr>
          <w:rFonts w:hint="eastAsia" w:ascii="仿宋_GB2312" w:eastAsia="仿宋_GB2312"/>
          <w:sz w:val="32"/>
          <w:szCs w:val="32"/>
        </w:rPr>
        <w:t>成立了基层指导科，安排专门主任医师负责中蒙医药适宜技术推广工作，组建了由14名临床科室主任及骨干组成的师资队伍，确定10类60余项适宜在本旗域推广，对基层卫生技术人员进行4次集中理论培训和技能培训，培训人员568人次，覆盖旗域16家乡卫生院（社区卫生服务中心）及161个村卫生室（站）。同时，定期到旗域内基层医疗卫生机构开展诊疗、技术推广工作。同时，与8家基层医疗卫生机构建成紧密型县域医共体，覆盖人口10.9万人，占总人口的42%，初步建成旗、乡、村三级中蒙医药服务网络。乡镇卫生院、社区卫生服务中心、村卫生室、社区卫生服务站中蒙医药适宜技术推广覆盖率达到了100%。16家基层医疗卫生机构中医馆能全部提供6类10项以上中蒙医药适宜技术服务，161家村卫生室能够规范开展4类6项以上的中蒙医药适宜技术服务。接受中蒙医药适宜技术治疗的患者满意度达到90%以上。</w:t>
      </w:r>
    </w:p>
    <w:p w14:paraId="65588D67">
      <w:pPr>
        <w:ind w:firstLine="640" w:firstLineChars="200"/>
        <w:rPr>
          <w:rFonts w:ascii="仿宋_GB2312" w:eastAsia="仿宋_GB2312"/>
          <w:sz w:val="32"/>
          <w:szCs w:val="32"/>
        </w:rPr>
      </w:pPr>
      <w:r>
        <w:rPr>
          <w:rFonts w:hint="eastAsia" w:ascii="楷体_GB2312" w:eastAsia="楷体_GB2312"/>
          <w:bCs/>
          <w:color w:val="000000"/>
          <w:sz w:val="32"/>
          <w:szCs w:val="32"/>
        </w:rPr>
        <w:t>（六）大力弘扬中蒙医药文化，为群众健康保驾护航。</w:t>
      </w:r>
      <w:r>
        <w:rPr>
          <w:rFonts w:hint="eastAsia" w:ascii="仿宋_GB2312" w:eastAsia="仿宋_GB2312"/>
          <w:sz w:val="32"/>
          <w:szCs w:val="32"/>
        </w:rPr>
        <w:t>聘请北京、河北、内蒙古、赤峰市中蒙医院专家，派出我院骨干医师深入社区、学校、企事业单位开展健康宣讲、义诊、发放健康处方等活动，大力宣传中蒙医养生保健、急救预防知识。共开展中蒙医药文化宣传服务活动50余场，派出专家及医务人员170余人次，发放宣传资料7600余份，服务职工群众6000余人，为广大职工、群众提供了中蒙医药健身养生防病知识，提升了群众中蒙医药文化素养，提高了公众对中蒙医药的认知度和信任度，引导人们形成正确的健康观念和生活方式，“爱中医、信中医、学中医、用中医”的氛围逐步形成，为中蒙医药事业稳定发展奠定了坚实的基础。</w:t>
      </w:r>
    </w:p>
    <w:p w14:paraId="528DABE8">
      <w:pPr>
        <w:pStyle w:val="13"/>
        <w:spacing w:before="0" w:beforeAutospacing="0"/>
        <w:ind w:firstLine="640" w:firstLineChars="200"/>
        <w:jc w:val="both"/>
        <w:rPr>
          <w:rFonts w:ascii="仿宋_GB2312" w:hAnsi="Times New Roman" w:eastAsia="仿宋_GB2312" w:cs="Times New Roman"/>
          <w:sz w:val="32"/>
          <w:szCs w:val="32"/>
          <w:lang w:val="en-US"/>
        </w:rPr>
      </w:pPr>
    </w:p>
    <w:p w14:paraId="5F6D3163"/>
    <w:p w14:paraId="064CB9A6">
      <w:pPr>
        <w:rPr>
          <w:rFonts w:ascii="楷体_GB2312" w:hAnsi="楷体" w:eastAsia="楷体_GB2312" w:cs="楷体"/>
          <w:sz w:val="32"/>
          <w:szCs w:val="32"/>
        </w:rPr>
      </w:pPr>
    </w:p>
    <w:p w14:paraId="6A67B16E">
      <w:pPr>
        <w:rPr>
          <w:rFonts w:ascii="楷体_GB2312" w:hAnsi="楷体" w:eastAsia="楷体_GB2312" w:cs="楷体"/>
          <w:sz w:val="32"/>
          <w:szCs w:val="32"/>
        </w:rPr>
      </w:pPr>
    </w:p>
    <w:p w14:paraId="09D2776A">
      <w:pPr>
        <w:rPr>
          <w:rFonts w:ascii="楷体_GB2312" w:hAnsi="楷体" w:eastAsia="楷体_GB2312" w:cs="楷体"/>
          <w:sz w:val="32"/>
          <w:szCs w:val="32"/>
        </w:rPr>
      </w:pPr>
    </w:p>
    <w:p w14:paraId="1B6E747E">
      <w:pPr>
        <w:rPr>
          <w:rFonts w:ascii="楷体_GB2312" w:hAnsi="楷体" w:eastAsia="楷体_GB2312" w:cs="楷体"/>
          <w:sz w:val="32"/>
          <w:szCs w:val="32"/>
        </w:rPr>
      </w:pPr>
    </w:p>
    <w:p w14:paraId="33F81290">
      <w:pPr>
        <w:rPr>
          <w:rFonts w:ascii="楷体_GB2312" w:hAnsi="楷体" w:eastAsia="楷体_GB2312" w:cs="楷体"/>
          <w:sz w:val="32"/>
          <w:szCs w:val="32"/>
        </w:rPr>
      </w:pPr>
    </w:p>
    <w:p w14:paraId="3FBCC158">
      <w:pPr>
        <w:rPr>
          <w:rFonts w:ascii="楷体_GB2312" w:hAnsi="楷体" w:eastAsia="楷体_GB2312" w:cs="楷体"/>
          <w:sz w:val="32"/>
          <w:szCs w:val="32"/>
        </w:rPr>
      </w:pPr>
    </w:p>
    <w:p w14:paraId="0275D8E0">
      <w:pPr>
        <w:rPr>
          <w:rFonts w:ascii="楷体_GB2312" w:hAnsi="楷体" w:eastAsia="楷体_GB2312" w:cs="楷体"/>
          <w:sz w:val="32"/>
          <w:szCs w:val="32"/>
        </w:rPr>
      </w:pPr>
    </w:p>
    <w:p w14:paraId="0F3324C0">
      <w:pPr>
        <w:rPr>
          <w:rFonts w:ascii="楷体_GB2312" w:hAnsi="楷体" w:eastAsia="楷体_GB2312" w:cs="楷体"/>
          <w:sz w:val="32"/>
          <w:szCs w:val="32"/>
        </w:rPr>
      </w:pPr>
    </w:p>
    <w:p w14:paraId="7E8D214E">
      <w:pPr>
        <w:rPr>
          <w:rFonts w:ascii="楷体_GB2312" w:hAnsi="楷体" w:eastAsia="楷体_GB2312" w:cs="楷体"/>
          <w:sz w:val="32"/>
          <w:szCs w:val="32"/>
        </w:rPr>
      </w:pPr>
    </w:p>
    <w:p w14:paraId="4BE6E294">
      <w:pPr>
        <w:rPr>
          <w:rFonts w:ascii="楷体_GB2312" w:hAnsi="楷体" w:eastAsia="楷体_GB2312" w:cs="楷体"/>
          <w:sz w:val="32"/>
          <w:szCs w:val="32"/>
        </w:rPr>
      </w:pPr>
    </w:p>
    <w:p w14:paraId="79DDF453">
      <w:pPr>
        <w:rPr>
          <w:rFonts w:ascii="楷体_GB2312" w:hAnsi="楷体" w:eastAsia="楷体_GB2312" w:cs="楷体"/>
          <w:sz w:val="32"/>
          <w:szCs w:val="32"/>
        </w:rPr>
      </w:pPr>
    </w:p>
    <w:p w14:paraId="17697053">
      <w:pPr>
        <w:rPr>
          <w:rFonts w:ascii="楷体_GB2312" w:hAnsi="楷体" w:eastAsia="楷体_GB2312" w:cs="楷体"/>
          <w:sz w:val="32"/>
          <w:szCs w:val="32"/>
        </w:rPr>
      </w:pPr>
    </w:p>
    <w:p w14:paraId="648ED338">
      <w:pPr>
        <w:rPr>
          <w:rFonts w:ascii="楷体_GB2312" w:hAnsi="楷体" w:eastAsia="楷体_GB2312" w:cs="楷体"/>
          <w:sz w:val="32"/>
          <w:szCs w:val="32"/>
        </w:rPr>
      </w:pPr>
    </w:p>
    <w:p w14:paraId="002221D2">
      <w:pPr>
        <w:rPr>
          <w:rFonts w:ascii="楷体_GB2312" w:hAnsi="楷体" w:eastAsia="楷体_GB2312" w:cs="楷体"/>
          <w:sz w:val="32"/>
          <w:szCs w:val="32"/>
        </w:rPr>
      </w:pPr>
    </w:p>
    <w:p w14:paraId="699C12CA">
      <w:pPr>
        <w:rPr>
          <w:rFonts w:ascii="楷体_GB2312" w:hAnsi="楷体" w:eastAsia="楷体_GB2312" w:cs="楷体"/>
          <w:sz w:val="32"/>
          <w:szCs w:val="32"/>
        </w:rPr>
      </w:pPr>
    </w:p>
    <w:p w14:paraId="0B1968B3">
      <w:pPr>
        <w:rPr>
          <w:rFonts w:ascii="楷体_GB2312" w:hAnsi="楷体" w:eastAsia="楷体_GB2312" w:cs="楷体"/>
          <w:sz w:val="32"/>
          <w:szCs w:val="32"/>
        </w:rPr>
      </w:pPr>
    </w:p>
    <w:p w14:paraId="38EB1DCF">
      <w:pPr>
        <w:rPr>
          <w:rFonts w:ascii="楷体_GB2312" w:hAnsi="楷体" w:eastAsia="楷体_GB2312" w:cs="楷体"/>
          <w:sz w:val="32"/>
          <w:szCs w:val="32"/>
        </w:rPr>
      </w:pPr>
    </w:p>
    <w:p w14:paraId="404C22C8">
      <w:pPr>
        <w:rPr>
          <w:rFonts w:ascii="楷体_GB2312" w:hAnsi="楷体" w:eastAsia="楷体_GB2312" w:cs="楷体"/>
          <w:sz w:val="32"/>
          <w:szCs w:val="32"/>
        </w:rPr>
      </w:pPr>
      <w:r>
        <w:rPr>
          <w:rFonts w:hint="eastAsia" w:ascii="楷体_GB2312" w:hAnsi="楷体" w:eastAsia="楷体_GB2312" w:cs="楷体"/>
          <w:sz w:val="32"/>
          <w:szCs w:val="32"/>
        </w:rPr>
        <w:t>提案编号：038</w:t>
      </w:r>
    </w:p>
    <w:p w14:paraId="257225DB">
      <w:pPr>
        <w:ind w:left="1600" w:hanging="1600" w:hangingChars="500"/>
        <w:rPr>
          <w:rFonts w:ascii="楷体_GB2312" w:hAnsi="楷体" w:eastAsia="楷体_GB2312" w:cs="楷体"/>
          <w:sz w:val="32"/>
          <w:szCs w:val="32"/>
        </w:rPr>
      </w:pPr>
      <w:r>
        <w:rPr>
          <w:rFonts w:hint="eastAsia" w:ascii="楷体_GB2312" w:hAnsi="楷体" w:eastAsia="楷体_GB2312" w:cs="楷体"/>
          <w:sz w:val="32"/>
          <w:szCs w:val="32"/>
        </w:rPr>
        <w:t>提案名称：关于更新喀喇沁旗城区公交站牌设施提升市民出行体验的提案</w:t>
      </w:r>
    </w:p>
    <w:p w14:paraId="1115BAB4">
      <w:pPr>
        <w:rPr>
          <w:rFonts w:ascii="楷体_GB2312" w:hAnsi="楷体" w:eastAsia="楷体_GB2312" w:cs="楷体"/>
          <w:sz w:val="32"/>
          <w:szCs w:val="32"/>
        </w:rPr>
      </w:pPr>
      <w:r>
        <w:rPr>
          <w:rFonts w:hint="eastAsia" w:ascii="楷体_GB2312" w:hAnsi="楷体" w:eastAsia="楷体_GB2312" w:cs="楷体"/>
          <w:sz w:val="32"/>
          <w:szCs w:val="32"/>
        </w:rPr>
        <w:t xml:space="preserve">提 案 人：付海涛 </w:t>
      </w:r>
      <w:r>
        <w:rPr>
          <w:rFonts w:hint="eastAsia" w:ascii="楷体_GB2312" w:hAnsi="方正楷体_GBK" w:eastAsia="楷体_GB2312" w:cs="方正楷体_GBK"/>
          <w:color w:val="000000"/>
          <w:spacing w:val="5"/>
          <w:kern w:val="0"/>
          <w:sz w:val="32"/>
          <w:szCs w:val="32"/>
        </w:rPr>
        <w:t>王会龙</w:t>
      </w:r>
    </w:p>
    <w:p w14:paraId="0EE58027">
      <w:pPr>
        <w:spacing w:line="560" w:lineRule="exact"/>
        <w:rPr>
          <w:rFonts w:ascii="楷体_GB2312" w:hAnsi="华文仿宋" w:eastAsia="楷体_GB2312" w:cs="华文仿宋"/>
          <w:kern w:val="0"/>
          <w:sz w:val="32"/>
          <w:szCs w:val="32"/>
        </w:rPr>
      </w:pPr>
      <w:r>
        <w:rPr>
          <w:rFonts w:hint="eastAsia" w:ascii="楷体_GB2312" w:hAnsi="楷体" w:eastAsia="楷体_GB2312" w:cs="楷体"/>
          <w:sz w:val="32"/>
          <w:szCs w:val="32"/>
        </w:rPr>
        <w:t xml:space="preserve">联系方式：15804769008 </w:t>
      </w:r>
      <w:r>
        <w:rPr>
          <w:rFonts w:ascii="楷体_GB2312" w:hAnsi="方正楷体_GBK" w:eastAsia="楷体_GB2312" w:cs="方正楷体_GBK"/>
          <w:color w:val="000000"/>
          <w:spacing w:val="5"/>
          <w:sz w:val="32"/>
          <w:szCs w:val="32"/>
        </w:rPr>
        <w:t>13947669797</w:t>
      </w:r>
    </w:p>
    <w:p w14:paraId="7FD2FA06">
      <w:pPr>
        <w:rPr>
          <w:rFonts w:ascii="楷体_GB2312" w:hAnsi="楷体" w:eastAsia="楷体_GB2312" w:cs="楷体"/>
          <w:sz w:val="32"/>
          <w:szCs w:val="32"/>
        </w:rPr>
      </w:pPr>
      <w:r>
        <w:rPr>
          <w:rFonts w:hint="eastAsia" w:ascii="楷体_GB2312" w:hAnsi="楷体" w:eastAsia="楷体_GB2312" w:cs="楷体"/>
          <w:sz w:val="32"/>
          <w:szCs w:val="32"/>
        </w:rPr>
        <w:t xml:space="preserve">界    别：科学技术和科学协会 </w:t>
      </w:r>
      <w:r>
        <w:rPr>
          <w:rFonts w:hint="eastAsia" w:ascii="楷体_GB2312" w:hAnsi="方正楷体_GBK" w:eastAsia="楷体_GB2312" w:cs="方正楷体_GBK"/>
          <w:color w:val="000000"/>
          <w:spacing w:val="5"/>
          <w:sz w:val="32"/>
          <w:szCs w:val="32"/>
        </w:rPr>
        <w:t>科学技术和科学协会</w:t>
      </w:r>
    </w:p>
    <w:p w14:paraId="50C7FEFC">
      <w:pPr>
        <w:jc w:val="center"/>
        <w:rPr>
          <w:rFonts w:ascii="方正小标宋简体" w:eastAsia="方正小标宋简体"/>
          <w:sz w:val="44"/>
          <w:szCs w:val="44"/>
        </w:rPr>
      </w:pPr>
      <w:r>
        <w:rPr>
          <w:rFonts w:hint="eastAsia" w:ascii="方正小标宋简体" w:eastAsia="方正小标宋简体"/>
          <w:sz w:val="44"/>
          <w:szCs w:val="44"/>
        </w:rPr>
        <w:t>关于更新喀喇沁旗城区公交站牌设施提升市民出行体验的提案</w:t>
      </w:r>
    </w:p>
    <w:p w14:paraId="1FCB98D3">
      <w:pPr>
        <w:numPr>
          <w:ilvl w:val="0"/>
          <w:numId w:val="13"/>
        </w:numPr>
        <w:rPr>
          <w:rFonts w:ascii="黑体" w:hAnsi="黑体" w:eastAsia="黑体" w:cs="黑体"/>
          <w:sz w:val="32"/>
          <w:szCs w:val="32"/>
        </w:rPr>
      </w:pPr>
      <w:r>
        <w:rPr>
          <w:rFonts w:hint="eastAsia" w:ascii="黑体" w:hAnsi="黑体" w:eastAsia="黑体" w:cs="黑体"/>
          <w:sz w:val="32"/>
          <w:szCs w:val="32"/>
        </w:rPr>
        <w:t>基本情况</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p>
    <w:p w14:paraId="0E589217">
      <w:pPr>
        <w:ind w:firstLine="640" w:firstLineChars="200"/>
        <w:rPr>
          <w:rFonts w:ascii="仿宋_GB2312" w:hAnsi="黑体" w:eastAsia="仿宋_GB2312" w:cs="黑体"/>
          <w:sz w:val="32"/>
          <w:szCs w:val="32"/>
        </w:rPr>
      </w:pPr>
      <w:r>
        <w:rPr>
          <w:rFonts w:hint="eastAsia" w:ascii="仿宋_GB2312" w:hAnsi="仿宋" w:eastAsia="仿宋_GB2312" w:cs="仿宋"/>
          <w:sz w:val="32"/>
          <w:szCs w:val="32"/>
        </w:rPr>
        <w:t>随着时间推移，喀喇沁旗城区公共交通基础设施出现了老化、损毁现象，严重影响了居民出行和城市形象建设。</w:t>
      </w:r>
    </w:p>
    <w:p w14:paraId="15231D9E">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本提案旨在通过更新喀喇沁旗城区公共交通基础设施尤其是公交站牌，提升市民出行效率与舒适度，缓解城市交通压力，促进绿色低碳出行，提升居民幸福感，提高喀喇沁旗历史文化名城的外在形象，为建设和谐美丽的现代化旅游城市贡献力量。</w:t>
      </w:r>
    </w:p>
    <w:p w14:paraId="44995CF7">
      <w:pPr>
        <w:numPr>
          <w:ilvl w:val="0"/>
          <w:numId w:val="13"/>
        </w:numPr>
        <w:rPr>
          <w:rFonts w:ascii="黑体" w:hAnsi="黑体" w:eastAsia="黑体" w:cs="黑体"/>
          <w:sz w:val="32"/>
          <w:szCs w:val="32"/>
        </w:rPr>
      </w:pPr>
      <w:r>
        <w:rPr>
          <w:rFonts w:hint="eastAsia" w:ascii="黑体" w:hAnsi="黑体" w:eastAsia="黑体" w:cs="黑体"/>
          <w:sz w:val="32"/>
          <w:szCs w:val="32"/>
        </w:rPr>
        <w:t>存在的问题</w:t>
      </w:r>
    </w:p>
    <w:p w14:paraId="1536306C">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喀喇沁旗城区公共交通设施的问题集中体现在站点公交站牌陈旧、个别站点公交站牌字迹不清晰甚至无法辨别、个别站点站牌被广告覆盖、个别站点仅存有空白站牌等影响居民出行指导的问题。虽然喀喇沁旗公交司机服务人性化，喀喇沁旗市民热心帮助他人，但仍然严重影响市民的出行体验和喀喇沁旗的整体城市形象。甚至可以说，喀喇沁旗城区目前的公交站牌会令外地游客认为喀喇沁旗是一个贫穷落后的城市，市政服务有失能之嫌。</w:t>
      </w:r>
    </w:p>
    <w:p w14:paraId="39316EE9">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通过下述措施的实施，预计能够有效提升喀喇沁旗城区公共交通系统的整体效能，缩短市民平均通勤时间，降低交通拥堵程度，减少环境污染，同时增强市民对公共交通服务的满意度和信赖度，提高游客的旅游体验，在细节上提高喀喇沁旗整体城市风貌。</w:t>
      </w:r>
    </w:p>
    <w:p w14:paraId="7C4668CB">
      <w:pPr>
        <w:numPr>
          <w:ilvl w:val="0"/>
          <w:numId w:val="13"/>
        </w:numPr>
        <w:rPr>
          <w:rFonts w:ascii="黑体" w:hAnsi="黑体" w:eastAsia="黑体" w:cs="黑体"/>
          <w:sz w:val="32"/>
          <w:szCs w:val="32"/>
        </w:rPr>
      </w:pPr>
      <w:r>
        <w:rPr>
          <w:rFonts w:hint="eastAsia" w:ascii="黑体" w:hAnsi="黑体" w:eastAsia="黑体" w:cs="黑体"/>
          <w:sz w:val="32"/>
          <w:szCs w:val="32"/>
        </w:rPr>
        <w:t>建议</w:t>
      </w:r>
    </w:p>
    <w:p w14:paraId="22C78A7B">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坚持一切从实际出发，为人民服务原则，逐一修复更新喀喇沁旗城区公交站牌。</w:t>
      </w:r>
      <w:r>
        <w:rPr>
          <w:rFonts w:hint="eastAsia" w:ascii="仿宋_GB2312" w:hAnsi="仿宋" w:eastAsia="仿宋_GB2312" w:cs="仿宋"/>
          <w:b/>
          <w:sz w:val="32"/>
          <w:szCs w:val="32"/>
        </w:rPr>
        <w:t>一是</w:t>
      </w:r>
      <w:r>
        <w:rPr>
          <w:rFonts w:hint="eastAsia" w:ascii="仿宋_GB2312" w:hAnsi="仿宋" w:eastAsia="仿宋_GB2312" w:cs="仿宋"/>
          <w:sz w:val="32"/>
          <w:szCs w:val="32"/>
        </w:rPr>
        <w:t>走访各线路各站点，清洁广告覆盖的站牌，修复不清晰、难以辨认的站牌，更换空白站牌。</w:t>
      </w:r>
    </w:p>
    <w:p w14:paraId="1AD523DC">
      <w:pPr>
        <w:spacing w:line="560" w:lineRule="exact"/>
        <w:rPr>
          <w:rFonts w:ascii="仿宋_GB2312" w:hAnsi="仿宋" w:eastAsia="仿宋_GB2312" w:cs="仿宋"/>
          <w:sz w:val="32"/>
          <w:szCs w:val="32"/>
        </w:rPr>
      </w:pPr>
      <w:r>
        <w:rPr>
          <w:rFonts w:hint="eastAsia" w:ascii="仿宋_GB2312" w:hAnsi="仿宋" w:eastAsia="仿宋_GB2312" w:cs="仿宋"/>
          <w:b/>
          <w:sz w:val="32"/>
          <w:szCs w:val="32"/>
        </w:rPr>
        <w:t>二是</w:t>
      </w:r>
      <w:r>
        <w:rPr>
          <w:rFonts w:hint="eastAsia" w:ascii="仿宋_GB2312" w:hAnsi="仿宋" w:eastAsia="仿宋_GB2312" w:cs="仿宋"/>
          <w:sz w:val="32"/>
          <w:szCs w:val="32"/>
        </w:rPr>
        <w:t>在站牌上留下服务热线，方便市民及游客迅速咨询公交信息和反映站牌损毁现象。</w:t>
      </w:r>
    </w:p>
    <w:p w14:paraId="0A67A187">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公共交通是城市发展的血脉，直接关系到市民的生活质量和城市的综合竞争力。本提案旨在通过细节的改进，为市民和游客提供更加可靠、便捷、清晰、绿色的出行指引。期待相关部门高度重视，共同推动提案的落地见效。</w:t>
      </w:r>
    </w:p>
    <w:p w14:paraId="754D571F">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附：</w:t>
      </w:r>
    </w:p>
    <w:p w14:paraId="33F6A9E7">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个别喀喇沁旗站牌实拍</w:t>
      </w:r>
    </w:p>
    <w:p w14:paraId="0ED72525">
      <w:pPr>
        <w:rPr>
          <w:sz w:val="28"/>
          <w:szCs w:val="28"/>
        </w:rPr>
      </w:pPr>
      <w:r>
        <w:rPr>
          <w:rFonts w:hint="eastAsia"/>
          <w:sz w:val="28"/>
          <w:szCs w:val="28"/>
        </w:rPr>
        <w:drawing>
          <wp:inline distT="0" distB="0" distL="114300" distR="114300">
            <wp:extent cx="5266690" cy="7023735"/>
            <wp:effectExtent l="0" t="0" r="10160" b="5715"/>
            <wp:docPr id="2" name="图片 2" descr="c7c226073fc25cb535fa1589e2793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7c226073fc25cb535fa1589e27934c"/>
                    <pic:cNvPicPr>
                      <a:picLocks noChangeAspect="1"/>
                    </pic:cNvPicPr>
                  </pic:nvPicPr>
                  <pic:blipFill>
                    <a:blip r:embed="rId4"/>
                    <a:stretch>
                      <a:fillRect/>
                    </a:stretch>
                  </pic:blipFill>
                  <pic:spPr>
                    <a:xfrm>
                      <a:off x="0" y="0"/>
                      <a:ext cx="5266690" cy="7023735"/>
                    </a:xfrm>
                    <a:prstGeom prst="rect">
                      <a:avLst/>
                    </a:prstGeom>
                  </pic:spPr>
                </pic:pic>
              </a:graphicData>
            </a:graphic>
          </wp:inline>
        </w:drawing>
      </w:r>
    </w:p>
    <w:p w14:paraId="284A4957">
      <w:pPr>
        <w:rPr>
          <w:sz w:val="28"/>
          <w:szCs w:val="28"/>
        </w:rPr>
      </w:pPr>
      <w:r>
        <w:rPr>
          <w:rFonts w:hint="eastAsia"/>
          <w:sz w:val="28"/>
          <w:szCs w:val="28"/>
        </w:rPr>
        <w:drawing>
          <wp:inline distT="0" distB="0" distL="114300" distR="114300">
            <wp:extent cx="5272405" cy="3954145"/>
            <wp:effectExtent l="0" t="0" r="8255" b="4445"/>
            <wp:docPr id="3" name="图片 3" descr="e6574dbbe29da838a000e2afcf1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6574dbbe29da838a000e2afcf13490"/>
                    <pic:cNvPicPr>
                      <a:picLocks noChangeAspect="1"/>
                    </pic:cNvPicPr>
                  </pic:nvPicPr>
                  <pic:blipFill>
                    <a:blip r:embed="rId5"/>
                    <a:stretch>
                      <a:fillRect/>
                    </a:stretch>
                  </pic:blipFill>
                  <pic:spPr>
                    <a:xfrm rot="5400000">
                      <a:off x="0" y="0"/>
                      <a:ext cx="5272405" cy="3954145"/>
                    </a:xfrm>
                    <a:prstGeom prst="rect">
                      <a:avLst/>
                    </a:prstGeom>
                  </pic:spPr>
                </pic:pic>
              </a:graphicData>
            </a:graphic>
          </wp:inline>
        </w:drawing>
      </w:r>
    </w:p>
    <w:p w14:paraId="31677D05">
      <w:pPr>
        <w:rPr>
          <w:sz w:val="28"/>
          <w:szCs w:val="28"/>
        </w:rPr>
      </w:pPr>
      <w:r>
        <w:rPr>
          <w:rFonts w:hint="eastAsia"/>
          <w:sz w:val="28"/>
          <w:szCs w:val="28"/>
        </w:rPr>
        <w:drawing>
          <wp:inline distT="0" distB="0" distL="114300" distR="114300">
            <wp:extent cx="5272405" cy="3954145"/>
            <wp:effectExtent l="0" t="0" r="8255" b="4445"/>
            <wp:docPr id="4" name="图片 4" descr="25c57951d3f083216dece4851977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5c57951d3f083216dece48519773fb"/>
                    <pic:cNvPicPr>
                      <a:picLocks noChangeAspect="1"/>
                    </pic:cNvPicPr>
                  </pic:nvPicPr>
                  <pic:blipFill>
                    <a:blip r:embed="rId6"/>
                    <a:stretch>
                      <a:fillRect/>
                    </a:stretch>
                  </pic:blipFill>
                  <pic:spPr>
                    <a:xfrm rot="5400000">
                      <a:off x="0" y="0"/>
                      <a:ext cx="5272405" cy="3954145"/>
                    </a:xfrm>
                    <a:prstGeom prst="rect">
                      <a:avLst/>
                    </a:prstGeom>
                  </pic:spPr>
                </pic:pic>
              </a:graphicData>
            </a:graphic>
          </wp:inline>
        </w:drawing>
      </w:r>
    </w:p>
    <w:p w14:paraId="2E5BDD18">
      <w:pPr>
        <w:rPr>
          <w:sz w:val="28"/>
          <w:szCs w:val="28"/>
        </w:rPr>
      </w:pPr>
    </w:p>
    <w:p w14:paraId="5A69C781">
      <w:pPr>
        <w:rPr>
          <w:sz w:val="28"/>
          <w:szCs w:val="28"/>
        </w:rPr>
      </w:pPr>
    </w:p>
    <w:p w14:paraId="15591889">
      <w:pPr>
        <w:rPr>
          <w:sz w:val="28"/>
          <w:szCs w:val="28"/>
        </w:rPr>
      </w:pPr>
    </w:p>
    <w:p w14:paraId="588CA70C">
      <w:pPr>
        <w:pStyle w:val="11"/>
        <w:widowControl/>
        <w:spacing w:beforeAutospacing="0" w:afterAutospacing="0" w:line="560" w:lineRule="exact"/>
        <w:ind w:firstLine="660"/>
        <w:rPr>
          <w:rFonts w:ascii="楷体_GB2312" w:hAnsi="方正楷体_GBK" w:eastAsia="楷体_GB2312" w:cs="方正楷体_GBK"/>
          <w:color w:val="000000" w:themeColor="text1"/>
          <w:spacing w:val="5"/>
          <w:sz w:val="32"/>
          <w:szCs w:val="32"/>
          <w14:textFill>
            <w14:solidFill>
              <w14:schemeClr w14:val="tx1"/>
            </w14:solidFill>
          </w14:textFill>
        </w:rPr>
      </w:pPr>
    </w:p>
    <w:p w14:paraId="0992AB58">
      <w:pPr>
        <w:pStyle w:val="11"/>
        <w:widowControl/>
        <w:spacing w:beforeAutospacing="0" w:afterAutospacing="0" w:line="560" w:lineRule="exact"/>
        <w:ind w:firstLine="660"/>
        <w:rPr>
          <w:rFonts w:ascii="楷体_GB2312" w:hAnsi="方正楷体_GBK" w:eastAsia="楷体_GB2312" w:cs="方正楷体_GBK"/>
          <w:color w:val="000000" w:themeColor="text1"/>
          <w:spacing w:val="5"/>
          <w:sz w:val="32"/>
          <w:szCs w:val="32"/>
          <w14:textFill>
            <w14:solidFill>
              <w14:schemeClr w14:val="tx1"/>
            </w14:solidFill>
          </w14:textFill>
        </w:rPr>
      </w:pPr>
    </w:p>
    <w:p w14:paraId="785D8D56">
      <w:pPr>
        <w:pStyle w:val="11"/>
        <w:widowControl/>
        <w:spacing w:beforeAutospacing="0" w:afterAutospacing="0" w:line="560" w:lineRule="exact"/>
        <w:ind w:firstLine="660"/>
        <w:rPr>
          <w:rFonts w:ascii="楷体_GB2312" w:hAnsi="方正楷体_GBK" w:eastAsia="楷体_GB2312" w:cs="方正楷体_GBK"/>
          <w:color w:val="000000" w:themeColor="text1"/>
          <w:spacing w:val="5"/>
          <w:sz w:val="32"/>
          <w:szCs w:val="32"/>
          <w14:textFill>
            <w14:solidFill>
              <w14:schemeClr w14:val="tx1"/>
            </w14:solidFill>
          </w14:textFill>
        </w:rPr>
      </w:pPr>
    </w:p>
    <w:p w14:paraId="2B948FD4">
      <w:pPr>
        <w:pStyle w:val="11"/>
        <w:widowControl/>
        <w:spacing w:beforeAutospacing="0" w:afterAutospacing="0" w:line="560" w:lineRule="exact"/>
        <w:ind w:firstLine="660"/>
        <w:rPr>
          <w:rFonts w:ascii="楷体_GB2312" w:hAnsi="方正楷体_GBK" w:eastAsia="楷体_GB2312" w:cs="方正楷体_GBK"/>
          <w:color w:val="000000" w:themeColor="text1"/>
          <w:spacing w:val="5"/>
          <w:sz w:val="32"/>
          <w:szCs w:val="32"/>
          <w14:textFill>
            <w14:solidFill>
              <w14:schemeClr w14:val="tx1"/>
            </w14:solidFill>
          </w14:textFill>
        </w:rPr>
      </w:pPr>
    </w:p>
    <w:p w14:paraId="298705FB">
      <w:pPr>
        <w:pStyle w:val="11"/>
        <w:widowControl/>
        <w:spacing w:beforeAutospacing="0" w:afterAutospacing="0" w:line="560" w:lineRule="exact"/>
        <w:ind w:firstLine="660"/>
        <w:rPr>
          <w:rFonts w:ascii="楷体_GB2312" w:hAnsi="方正楷体_GBK" w:eastAsia="楷体_GB2312" w:cs="方正楷体_GBK"/>
          <w:color w:val="000000" w:themeColor="text1"/>
          <w:spacing w:val="5"/>
          <w:sz w:val="32"/>
          <w:szCs w:val="32"/>
          <w14:textFill>
            <w14:solidFill>
              <w14:schemeClr w14:val="tx1"/>
            </w14:solidFill>
          </w14:textFill>
        </w:rPr>
      </w:pPr>
    </w:p>
    <w:p w14:paraId="192DE3DB">
      <w:pPr>
        <w:pStyle w:val="11"/>
        <w:widowControl/>
        <w:spacing w:beforeAutospacing="0" w:afterAutospacing="0" w:line="560" w:lineRule="exact"/>
        <w:ind w:firstLine="660"/>
        <w:rPr>
          <w:rFonts w:ascii="楷体_GB2312" w:hAnsi="方正楷体_GBK" w:eastAsia="楷体_GB2312" w:cs="方正楷体_GBK"/>
          <w:color w:val="000000" w:themeColor="text1"/>
          <w:spacing w:val="5"/>
          <w:sz w:val="32"/>
          <w:szCs w:val="32"/>
          <w14:textFill>
            <w14:solidFill>
              <w14:schemeClr w14:val="tx1"/>
            </w14:solidFill>
          </w14:textFill>
        </w:rPr>
      </w:pPr>
    </w:p>
    <w:p w14:paraId="17C20BD4">
      <w:pPr>
        <w:pStyle w:val="11"/>
        <w:widowControl/>
        <w:spacing w:beforeAutospacing="0" w:afterAutospacing="0" w:line="560" w:lineRule="exact"/>
        <w:rPr>
          <w:rFonts w:ascii="楷体_GB2312" w:hAnsi="方正楷体_GBK" w:eastAsia="楷体_GB2312" w:cs="方正楷体_GBK"/>
          <w:color w:val="000000" w:themeColor="text1"/>
          <w:spacing w:val="5"/>
          <w:sz w:val="32"/>
          <w:szCs w:val="32"/>
          <w14:textFill>
            <w14:solidFill>
              <w14:schemeClr w14:val="tx1"/>
            </w14:solidFill>
          </w14:textFill>
        </w:rPr>
      </w:pPr>
      <w:r>
        <w:rPr>
          <w:rFonts w:hint="eastAsia" w:ascii="楷体_GB2312" w:hAnsi="方正楷体_GBK" w:eastAsia="楷体_GB2312" w:cs="方正楷体_GBK"/>
          <w:color w:val="000000" w:themeColor="text1"/>
          <w:spacing w:val="5"/>
          <w:sz w:val="32"/>
          <w:szCs w:val="32"/>
          <w14:textFill>
            <w14:solidFill>
              <w14:schemeClr w14:val="tx1"/>
            </w14:solidFill>
          </w14:textFill>
        </w:rPr>
        <w:t>提案编号：039</w:t>
      </w:r>
    </w:p>
    <w:p w14:paraId="5E78648C">
      <w:pPr>
        <w:pStyle w:val="11"/>
        <w:widowControl/>
        <w:spacing w:beforeAutospacing="0" w:afterAutospacing="0" w:line="560" w:lineRule="exact"/>
        <w:rPr>
          <w:rFonts w:ascii="楷体_GB2312" w:hAnsi="方正楷体_GBK" w:eastAsia="楷体_GB2312" w:cs="方正楷体_GBK"/>
          <w:color w:val="000000" w:themeColor="text1"/>
          <w:spacing w:val="5"/>
          <w:sz w:val="32"/>
          <w:szCs w:val="32"/>
          <w14:textFill>
            <w14:solidFill>
              <w14:schemeClr w14:val="tx1"/>
            </w14:solidFill>
          </w14:textFill>
        </w:rPr>
      </w:pPr>
      <w:r>
        <w:rPr>
          <w:rFonts w:hint="eastAsia" w:ascii="楷体_GB2312" w:hAnsi="方正楷体_GBK" w:eastAsia="楷体_GB2312" w:cs="方正楷体_GBK"/>
          <w:color w:val="000000" w:themeColor="text1"/>
          <w:spacing w:val="5"/>
          <w:sz w:val="32"/>
          <w:szCs w:val="32"/>
          <w14:textFill>
            <w14:solidFill>
              <w14:schemeClr w14:val="tx1"/>
            </w14:solidFill>
          </w14:textFill>
        </w:rPr>
        <w:t>提案名称：关于公共交通系统综合改革与支持策略的提案</w:t>
      </w:r>
    </w:p>
    <w:p w14:paraId="020AD3D7">
      <w:pPr>
        <w:pStyle w:val="11"/>
        <w:widowControl/>
        <w:spacing w:beforeAutospacing="0" w:afterAutospacing="0" w:line="560" w:lineRule="exact"/>
        <w:rPr>
          <w:rFonts w:ascii="楷体_GB2312" w:hAnsi="方正楷体_GBK" w:eastAsia="楷体_GB2312" w:cs="方正楷体_GBK"/>
          <w:color w:val="000000" w:themeColor="text1"/>
          <w:spacing w:val="5"/>
          <w:sz w:val="32"/>
          <w:szCs w:val="32"/>
          <w14:textFill>
            <w14:solidFill>
              <w14:schemeClr w14:val="tx1"/>
            </w14:solidFill>
          </w14:textFill>
        </w:rPr>
      </w:pPr>
      <w:r>
        <w:rPr>
          <w:rFonts w:hint="eastAsia" w:ascii="楷体_GB2312" w:hAnsi="方正楷体_GBK" w:eastAsia="楷体_GB2312" w:cs="方正楷体_GBK"/>
          <w:color w:val="000000" w:themeColor="text1"/>
          <w:spacing w:val="5"/>
          <w:sz w:val="32"/>
          <w:szCs w:val="32"/>
          <w14:textFill>
            <w14:solidFill>
              <w14:schemeClr w14:val="tx1"/>
            </w14:solidFill>
          </w14:textFill>
        </w:rPr>
        <w:t>提 案 人：宋学宇</w:t>
      </w:r>
    </w:p>
    <w:p w14:paraId="77B6C850">
      <w:pPr>
        <w:pStyle w:val="11"/>
        <w:widowControl/>
        <w:spacing w:beforeAutospacing="0" w:afterAutospacing="0" w:line="560" w:lineRule="exact"/>
        <w:rPr>
          <w:rFonts w:ascii="楷体_GB2312" w:hAnsi="方正楷体_GBK" w:eastAsia="楷体_GB2312" w:cs="方正楷体_GBK"/>
          <w:color w:val="000000" w:themeColor="text1"/>
          <w:spacing w:val="5"/>
          <w:sz w:val="32"/>
          <w:szCs w:val="32"/>
          <w14:textFill>
            <w14:solidFill>
              <w14:schemeClr w14:val="tx1"/>
            </w14:solidFill>
          </w14:textFill>
        </w:rPr>
      </w:pPr>
      <w:r>
        <w:rPr>
          <w:rFonts w:hint="eastAsia" w:ascii="楷体_GB2312" w:hAnsi="方正楷体_GBK" w:eastAsia="楷体_GB2312" w:cs="方正楷体_GBK"/>
          <w:color w:val="000000" w:themeColor="text1"/>
          <w:spacing w:val="5"/>
          <w:sz w:val="32"/>
          <w:szCs w:val="32"/>
          <w14:textFill>
            <w14:solidFill>
              <w14:schemeClr w14:val="tx1"/>
            </w14:solidFill>
          </w14:textFill>
        </w:rPr>
        <w:t>联系方式：</w:t>
      </w:r>
      <w:r>
        <w:rPr>
          <w:rFonts w:hint="eastAsia" w:ascii="楷体_GB2312" w:hAnsi="方正楷体_GBK" w:eastAsia="楷体_GB2312" w:cs="方正楷体_GBK"/>
          <w:bCs/>
          <w:spacing w:val="-17"/>
          <w:sz w:val="32"/>
          <w:szCs w:val="32"/>
        </w:rPr>
        <w:t>15847607773</w:t>
      </w:r>
    </w:p>
    <w:p w14:paraId="173B277B">
      <w:pPr>
        <w:pStyle w:val="11"/>
        <w:widowControl/>
        <w:spacing w:beforeAutospacing="0" w:afterAutospacing="0" w:line="560" w:lineRule="exact"/>
        <w:rPr>
          <w:rFonts w:ascii="楷体_GB2312" w:hAnsi="方正楷体_GBK" w:eastAsia="楷体_GB2312" w:cs="方正楷体_GBK"/>
          <w:color w:val="000000" w:themeColor="text1"/>
          <w:spacing w:val="5"/>
          <w:sz w:val="32"/>
          <w:szCs w:val="32"/>
          <w14:textFill>
            <w14:solidFill>
              <w14:schemeClr w14:val="tx1"/>
            </w14:solidFill>
          </w14:textFill>
        </w:rPr>
      </w:pPr>
      <w:r>
        <w:rPr>
          <w:rFonts w:hint="eastAsia" w:ascii="楷体_GB2312" w:hAnsi="方正楷体_GBK" w:eastAsia="楷体_GB2312" w:cs="方正楷体_GBK"/>
          <w:color w:val="000000" w:themeColor="text1"/>
          <w:spacing w:val="5"/>
          <w:sz w:val="32"/>
          <w:szCs w:val="32"/>
          <w14:textFill>
            <w14:solidFill>
              <w14:schemeClr w14:val="tx1"/>
            </w14:solidFill>
          </w14:textFill>
        </w:rPr>
        <w:t>界    别：</w:t>
      </w:r>
      <w:r>
        <w:rPr>
          <w:rFonts w:hint="eastAsia" w:ascii="楷体_GB2312" w:hAnsi="Times New Roman" w:eastAsia="楷体_GB2312"/>
          <w:bCs/>
          <w:spacing w:val="-17"/>
          <w:sz w:val="32"/>
          <w:szCs w:val="32"/>
        </w:rPr>
        <w:t>少数民族和宗教</w:t>
      </w:r>
    </w:p>
    <w:p w14:paraId="4FB19924">
      <w:pPr>
        <w:pStyle w:val="11"/>
        <w:widowControl/>
        <w:jc w:val="center"/>
        <w:rPr>
          <w:rStyle w:val="16"/>
          <w:rFonts w:ascii="方正小标宋简体" w:hAnsi="宋体" w:eastAsia="方正小标宋简体" w:cs="宋体"/>
          <w:bCs/>
          <w:color w:val="000000" w:themeColor="text1"/>
          <w:spacing w:val="5"/>
          <w:sz w:val="32"/>
          <w:szCs w:val="32"/>
          <w14:textFill>
            <w14:solidFill>
              <w14:schemeClr w14:val="tx1"/>
            </w14:solidFill>
          </w14:textFill>
        </w:rPr>
      </w:pPr>
      <w:r>
        <w:rPr>
          <w:rFonts w:hint="eastAsia" w:ascii="方正小标宋简体" w:hAnsi="方正小标宋_GBK" w:eastAsia="方正小标宋简体" w:cs="方正小标宋_GBK"/>
          <w:color w:val="1B1C21"/>
          <w:spacing w:val="5"/>
          <w:sz w:val="44"/>
          <w:szCs w:val="44"/>
        </w:rPr>
        <w:t>关于公共交通系统综合改革与支持策略的提案</w:t>
      </w:r>
    </w:p>
    <w:p w14:paraId="6F0AED5C">
      <w:pPr>
        <w:pStyle w:val="11"/>
        <w:widowControl/>
        <w:spacing w:beforeAutospacing="0" w:afterAutospacing="0" w:line="560" w:lineRule="exact"/>
        <w:ind w:firstLine="660" w:firstLineChars="200"/>
        <w:rPr>
          <w:rFonts w:ascii="黑体" w:hAnsi="黑体" w:eastAsia="黑体" w:cs="黑体"/>
          <w:color w:val="000000" w:themeColor="text1"/>
          <w:spacing w:val="5"/>
          <w:sz w:val="32"/>
          <w:szCs w:val="32"/>
          <w14:textFill>
            <w14:solidFill>
              <w14:schemeClr w14:val="tx1"/>
            </w14:solidFill>
          </w14:textFill>
        </w:rPr>
      </w:pPr>
      <w:r>
        <w:rPr>
          <w:rFonts w:hint="eastAsia" w:ascii="黑体" w:hAnsi="黑体" w:eastAsia="黑体" w:cs="黑体"/>
          <w:color w:val="000000" w:themeColor="text1"/>
          <w:spacing w:val="5"/>
          <w:sz w:val="32"/>
          <w:szCs w:val="32"/>
          <w14:textFill>
            <w14:solidFill>
              <w14:schemeClr w14:val="tx1"/>
            </w14:solidFill>
          </w14:textFill>
        </w:rPr>
        <w:t>一、基本情况</w:t>
      </w:r>
    </w:p>
    <w:p w14:paraId="7D3BC319">
      <w:pPr>
        <w:pStyle w:val="11"/>
        <w:widowControl/>
        <w:spacing w:beforeAutospacing="0" w:afterAutospacing="0" w:line="560" w:lineRule="exact"/>
        <w:ind w:firstLine="660" w:firstLineChars="200"/>
        <w:rPr>
          <w:rFonts w:ascii="仿宋_GB2312" w:hAnsi="方正仿宋_GB2312" w:eastAsia="仿宋_GB2312" w:cs="方正仿宋_GB2312"/>
          <w:color w:val="000000" w:themeColor="text1"/>
          <w:spacing w:val="5"/>
          <w:sz w:val="32"/>
          <w:szCs w:val="32"/>
          <w14:textFill>
            <w14:solidFill>
              <w14:schemeClr w14:val="tx1"/>
            </w14:solidFill>
          </w14:textFill>
        </w:rPr>
      </w:pPr>
      <w:r>
        <w:rPr>
          <w:rFonts w:hint="eastAsia" w:ascii="仿宋_GB2312" w:hAnsi="方正仿宋_GB2312" w:eastAsia="仿宋_GB2312" w:cs="方正仿宋_GB2312"/>
          <w:color w:val="000000" w:themeColor="text1"/>
          <w:spacing w:val="5"/>
          <w:sz w:val="32"/>
          <w:szCs w:val="32"/>
          <w14:textFill>
            <w14:solidFill>
              <w14:schemeClr w14:val="tx1"/>
            </w14:solidFill>
          </w14:textFill>
        </w:rPr>
        <w:t>随着城市化进程的加速，公共交通作为城市基础设施的重要组成部分，对于促进城市可持续发展具有不可替代的作用。喀喇沁旗鑫宇公交公司自组建以来，秉承着服务社会，优质高效，群众满意的经营理念，在旗委旗政府的正确领导和有关部门的支持下，公司建设不断发展，服务范围不断扩大，到2024年，公司投入的运营车辆达39 台，其中新能源纯电动公交车16辆，运营里程280公里，从业人员40人，基本上满足了群众方便、快捷、安全、舒适的出行需求，为文明城镇建设做出了一定的贡献。公共交通事业有着公益属性，因此在发展过程中，不可避免地会遇到这样或那样的困难，诸如公交优先路权保障不到位、公交场站用地保障不到位、地方财政补贴不到位以及从业人员权益保障不到位等这些全国行业发展的共性问题在鑫宇公交公司也同样需要面对，给公交事业的发展造成很大的困扰和压力。</w:t>
      </w:r>
    </w:p>
    <w:p w14:paraId="58818A66">
      <w:pPr>
        <w:pStyle w:val="11"/>
        <w:widowControl/>
        <w:spacing w:beforeAutospacing="0" w:afterAutospacing="0" w:line="560" w:lineRule="exact"/>
        <w:ind w:firstLine="660" w:firstLineChars="200"/>
        <w:rPr>
          <w:rFonts w:ascii="黑体" w:hAnsi="黑体" w:eastAsia="黑体" w:cs="黑体"/>
          <w:color w:val="000000" w:themeColor="text1"/>
          <w:spacing w:val="5"/>
          <w:sz w:val="32"/>
          <w:szCs w:val="32"/>
          <w14:textFill>
            <w14:solidFill>
              <w14:schemeClr w14:val="tx1"/>
            </w14:solidFill>
          </w14:textFill>
        </w:rPr>
      </w:pPr>
      <w:r>
        <w:rPr>
          <w:rFonts w:hint="eastAsia" w:ascii="黑体" w:hAnsi="黑体" w:eastAsia="黑体" w:cs="黑体"/>
          <w:color w:val="000000" w:themeColor="text1"/>
          <w:spacing w:val="5"/>
          <w:sz w:val="32"/>
          <w:szCs w:val="32"/>
          <w14:textFill>
            <w14:solidFill>
              <w14:schemeClr w14:val="tx1"/>
            </w14:solidFill>
          </w14:textFill>
        </w:rPr>
        <w:t>二、存在问题</w:t>
      </w:r>
    </w:p>
    <w:p w14:paraId="5EF22711">
      <w:pPr>
        <w:pStyle w:val="11"/>
        <w:widowControl/>
        <w:spacing w:beforeAutospacing="0" w:afterAutospacing="0" w:line="560" w:lineRule="exact"/>
        <w:ind w:firstLine="660" w:firstLineChars="200"/>
        <w:rPr>
          <w:rFonts w:ascii="仿宋_GB2312" w:hAnsi="方正楷体_GBK" w:eastAsia="仿宋_GB2312" w:cs="方正楷体_GBK"/>
          <w:color w:val="000000" w:themeColor="text1"/>
          <w:spacing w:val="5"/>
          <w:sz w:val="32"/>
          <w:szCs w:val="32"/>
          <w14:textFill>
            <w14:solidFill>
              <w14:schemeClr w14:val="tx1"/>
            </w14:solidFill>
          </w14:textFill>
        </w:rPr>
      </w:pPr>
      <w:r>
        <w:rPr>
          <w:rFonts w:hint="eastAsia" w:ascii="楷体_GB2312" w:hAnsi="方正楷体_GBK" w:eastAsia="楷体_GB2312" w:cs="方正楷体_GBK"/>
          <w:color w:val="000000" w:themeColor="text1"/>
          <w:spacing w:val="5"/>
          <w:sz w:val="32"/>
          <w:szCs w:val="32"/>
          <w14:textFill>
            <w14:solidFill>
              <w14:schemeClr w14:val="tx1"/>
            </w14:solidFill>
          </w14:textFill>
        </w:rPr>
        <w:t>（一）场站用地保障不足。</w:t>
      </w:r>
      <w:r>
        <w:rPr>
          <w:rFonts w:hint="eastAsia" w:ascii="仿宋_GB2312" w:hAnsi="方正仿宋_GB2312" w:eastAsia="仿宋_GB2312" w:cs="方正仿宋_GB2312"/>
          <w:color w:val="000000" w:themeColor="text1"/>
          <w:spacing w:val="5"/>
          <w:sz w:val="32"/>
          <w:szCs w:val="32"/>
          <w14:textFill>
            <w14:solidFill>
              <w14:schemeClr w14:val="tx1"/>
            </w14:solidFill>
          </w14:textFill>
        </w:rPr>
        <w:t>公交场站是保障公交车辆维护和调度的关键设施。目前，由于场站用地供给不足，导致车辆维护不便，无法及时进行日常检查和维修，影响了公交车辆的运行安全和服务质量，也限制了新线路的开发和现有线路的优化调整。</w:t>
      </w:r>
    </w:p>
    <w:p w14:paraId="25DD2786">
      <w:pPr>
        <w:widowControl/>
        <w:spacing w:line="560" w:lineRule="exact"/>
        <w:ind w:firstLine="660" w:firstLineChars="200"/>
        <w:rPr>
          <w:rFonts w:ascii="仿宋_GB2312" w:hAnsi="方正楷体_GBK" w:eastAsia="仿宋_GB2312" w:cs="方正楷体_GBK"/>
          <w:color w:val="000000" w:themeColor="text1"/>
          <w:spacing w:val="5"/>
          <w:sz w:val="32"/>
          <w:szCs w:val="32"/>
          <w14:textFill>
            <w14:solidFill>
              <w14:schemeClr w14:val="tx1"/>
            </w14:solidFill>
          </w14:textFill>
        </w:rPr>
      </w:pPr>
      <w:r>
        <w:rPr>
          <w:rStyle w:val="16"/>
          <w:rFonts w:hint="eastAsia" w:ascii="楷体_GB2312" w:hAnsi="方正楷体_GBK" w:eastAsia="楷体_GB2312" w:cs="方正楷体_GBK"/>
          <w:b w:val="0"/>
          <w:color w:val="000000" w:themeColor="text1"/>
          <w:spacing w:val="5"/>
          <w:sz w:val="32"/>
          <w:szCs w:val="32"/>
          <w14:textFill>
            <w14:solidFill>
              <w14:schemeClr w14:val="tx1"/>
            </w14:solidFill>
          </w14:textFill>
        </w:rPr>
        <w:t>（二）财政补贴机制不完善。</w:t>
      </w:r>
      <w:r>
        <w:rPr>
          <w:rFonts w:hint="eastAsia" w:ascii="仿宋_GB2312" w:hAnsi="方正仿宋_GB2312" w:eastAsia="仿宋_GB2312" w:cs="方正仿宋_GB2312"/>
          <w:color w:val="000000" w:themeColor="text1"/>
          <w:spacing w:val="5"/>
          <w:sz w:val="32"/>
          <w:szCs w:val="32"/>
          <w14:textFill>
            <w14:solidFill>
              <w14:schemeClr w14:val="tx1"/>
            </w14:solidFill>
          </w14:textFill>
        </w:rPr>
        <w:t>公共交通作为公益事业，其运营成本高而票款收入有限。尤其是实施“五免”政策后，（对现役军人、复员转业军人、60周岁以上老年人、伤残人员以及在校学生实行免费乘坐，简称五免人员。）公司每年需额外承担约60万元的运营成本。目前，这一部分成本未能得到充分的财政补贴，导致公司财务状况紧张，影响了服务的可持续性。</w:t>
      </w:r>
    </w:p>
    <w:p w14:paraId="741EEEEC">
      <w:pPr>
        <w:pStyle w:val="11"/>
        <w:widowControl/>
        <w:spacing w:beforeAutospacing="0" w:afterAutospacing="0" w:line="560" w:lineRule="exact"/>
        <w:ind w:firstLine="660" w:firstLineChars="200"/>
        <w:rPr>
          <w:rFonts w:ascii="仿宋_GB2312" w:hAnsi="方正楷体_GBK" w:eastAsia="仿宋_GB2312" w:cs="方正楷体_GBK"/>
          <w:color w:val="000000" w:themeColor="text1"/>
          <w:spacing w:val="5"/>
          <w:sz w:val="32"/>
          <w:szCs w:val="32"/>
          <w14:textFill>
            <w14:solidFill>
              <w14:schemeClr w14:val="tx1"/>
            </w14:solidFill>
          </w14:textFill>
        </w:rPr>
      </w:pPr>
      <w:r>
        <w:rPr>
          <w:rFonts w:hint="eastAsia" w:ascii="楷体_GB2312" w:hAnsi="方正楷体_GBK" w:eastAsia="楷体_GB2312" w:cs="方正楷体_GBK"/>
          <w:color w:val="000000" w:themeColor="text1"/>
          <w:spacing w:val="5"/>
          <w:sz w:val="32"/>
          <w:szCs w:val="32"/>
          <w14:textFill>
            <w14:solidFill>
              <w14:schemeClr w14:val="tx1"/>
            </w14:solidFill>
          </w14:textFill>
        </w:rPr>
        <w:t>（三）公益属性导致公司持续亏损</w:t>
      </w:r>
      <w:r>
        <w:rPr>
          <w:rFonts w:hint="eastAsia" w:ascii="楷体_GB2312" w:hAnsi="宋体" w:eastAsia="楷体_GB2312" w:cs="宋体"/>
          <w:color w:val="000000" w:themeColor="text1"/>
          <w:spacing w:val="5"/>
          <w:sz w:val="32"/>
          <w:szCs w:val="32"/>
          <w14:textFill>
            <w14:solidFill>
              <w14:schemeClr w14:val="tx1"/>
            </w14:solidFill>
          </w14:textFill>
        </w:rPr>
        <w:t>。</w:t>
      </w:r>
      <w:r>
        <w:rPr>
          <w:rFonts w:hint="eastAsia" w:ascii="仿宋_GB2312" w:hAnsi="方正仿宋_GB2312" w:eastAsia="仿宋_GB2312" w:cs="方正仿宋_GB2312"/>
          <w:color w:val="000000" w:themeColor="text1"/>
          <w:spacing w:val="5"/>
          <w:sz w:val="32"/>
          <w:szCs w:val="32"/>
          <w14:textFill>
            <w14:solidFill>
              <w14:schemeClr w14:val="tx1"/>
            </w14:solidFill>
          </w14:textFill>
        </w:rPr>
        <w:t>由于公共交通属于公益事业，不具备盈利条件创收能力，而且一经开通就不能停运，否则将造成严重的负面影响和社会问题。在公司公交服务的范围内，常住人口和流动人口都相对较少，加之出行交通选择多样，延伸到乡村的线路人少线长等因素，公司一直面临亏损的问题，近年来公司也在千方百计扩大服务范围比如参与接送学生，既缓解了城镇交通压力，又保证了学生的安全；积极参与特殊情况下的人员转运等等，但依然没能缓解亏损的压力。</w:t>
      </w:r>
    </w:p>
    <w:p w14:paraId="62D1CE43">
      <w:pPr>
        <w:pStyle w:val="11"/>
        <w:widowControl/>
        <w:spacing w:beforeAutospacing="0" w:afterAutospacing="0" w:line="560" w:lineRule="exact"/>
        <w:ind w:firstLine="660" w:firstLineChars="200"/>
        <w:rPr>
          <w:rFonts w:ascii="仿宋_GB2312" w:hAnsi="方正楷体_GBK" w:eastAsia="仿宋_GB2312" w:cs="方正楷体_GBK"/>
          <w:color w:val="000000" w:themeColor="text1"/>
          <w:spacing w:val="5"/>
          <w:sz w:val="32"/>
          <w:szCs w:val="32"/>
          <w14:textFill>
            <w14:solidFill>
              <w14:schemeClr w14:val="tx1"/>
            </w14:solidFill>
          </w14:textFill>
        </w:rPr>
      </w:pPr>
      <w:r>
        <w:rPr>
          <w:rFonts w:hint="eastAsia" w:ascii="仿宋_GB2312" w:hAnsi="方正楷体_GBK" w:eastAsia="仿宋_GB2312" w:cs="方正楷体_GBK"/>
          <w:color w:val="000000" w:themeColor="text1"/>
          <w:spacing w:val="5"/>
          <w:sz w:val="32"/>
          <w:szCs w:val="32"/>
          <w14:textFill>
            <w14:solidFill>
              <w14:schemeClr w14:val="tx1"/>
            </w14:solidFill>
          </w14:textFill>
        </w:rPr>
        <w:t>（</w:t>
      </w:r>
      <w:r>
        <w:rPr>
          <w:rFonts w:hint="eastAsia" w:ascii="楷体_GB2312" w:hAnsi="方正楷体_GBK" w:eastAsia="楷体_GB2312" w:cs="方正楷体_GBK"/>
          <w:color w:val="000000" w:themeColor="text1"/>
          <w:spacing w:val="5"/>
          <w:sz w:val="32"/>
          <w:szCs w:val="32"/>
          <w14:textFill>
            <w14:solidFill>
              <w14:schemeClr w14:val="tx1"/>
            </w14:solidFill>
          </w14:textFill>
        </w:rPr>
        <w:t>四）职工五险一金无法保障。</w:t>
      </w:r>
      <w:r>
        <w:rPr>
          <w:rFonts w:hint="eastAsia" w:ascii="仿宋_GB2312" w:hAnsi="方正仿宋_GB2312" w:eastAsia="仿宋_GB2312" w:cs="方正仿宋_GB2312"/>
          <w:color w:val="000000" w:themeColor="text1"/>
          <w:spacing w:val="5"/>
          <w:sz w:val="32"/>
          <w:szCs w:val="32"/>
          <w14:textFill>
            <w14:solidFill>
              <w14:schemeClr w14:val="tx1"/>
            </w14:solidFill>
          </w14:textFill>
        </w:rPr>
        <w:t>公司现有从业人员40人，其中司驾人员36人，服务保障 4人。从业人员无后顾之忧的工作是保证运营安全的重要一环，因此给从业人员上五险一金既是对从业人员权益保障，也是稳定职工队伍的保证，有利于事业的发展。因公司财务压力大无力解决职工的五险一金，影响了员工的工作积极性和队伍稳定性。</w:t>
      </w:r>
    </w:p>
    <w:p w14:paraId="6E003E8C">
      <w:pPr>
        <w:pStyle w:val="3"/>
        <w:widowControl/>
        <w:spacing w:beforeAutospacing="0" w:afterAutospacing="0" w:line="560" w:lineRule="exact"/>
        <w:ind w:firstLine="660" w:firstLineChars="200"/>
        <w:rPr>
          <w:rFonts w:hint="default" w:ascii="黑体" w:hAnsi="黑体" w:eastAsia="黑体" w:cs="黑体"/>
          <w:b w:val="0"/>
          <w:bCs w:val="0"/>
          <w:color w:val="000000" w:themeColor="text1"/>
          <w:spacing w:val="5"/>
          <w:sz w:val="32"/>
          <w:szCs w:val="32"/>
          <w14:textFill>
            <w14:solidFill>
              <w14:schemeClr w14:val="tx1"/>
            </w14:solidFill>
          </w14:textFill>
        </w:rPr>
      </w:pPr>
      <w:r>
        <w:rPr>
          <w:rFonts w:ascii="黑体" w:hAnsi="黑体" w:eastAsia="黑体" w:cs="黑体"/>
          <w:b w:val="0"/>
          <w:bCs w:val="0"/>
          <w:color w:val="000000" w:themeColor="text1"/>
          <w:spacing w:val="5"/>
          <w:sz w:val="32"/>
          <w:szCs w:val="32"/>
          <w14:textFill>
            <w14:solidFill>
              <w14:schemeClr w14:val="tx1"/>
            </w14:solidFill>
          </w14:textFill>
        </w:rPr>
        <w:t>三、建议</w:t>
      </w:r>
    </w:p>
    <w:p w14:paraId="1452C84D">
      <w:pPr>
        <w:pStyle w:val="4"/>
        <w:widowControl/>
        <w:spacing w:beforeAutospacing="0" w:afterAutospacing="0" w:line="560" w:lineRule="exact"/>
        <w:ind w:firstLine="660" w:firstLineChars="200"/>
        <w:rPr>
          <w:rFonts w:hint="default" w:ascii="仿宋_GB2312" w:hAnsi="方正仿宋_GB2312" w:eastAsia="仿宋_GB2312" w:cs="方正仿宋_GB2312"/>
          <w:b w:val="0"/>
          <w:bCs w:val="0"/>
          <w:color w:val="000000" w:themeColor="text1"/>
          <w:spacing w:val="5"/>
          <w:sz w:val="32"/>
          <w:szCs w:val="32"/>
          <w14:textFill>
            <w14:solidFill>
              <w14:schemeClr w14:val="tx1"/>
            </w14:solidFill>
          </w14:textFill>
        </w:rPr>
      </w:pPr>
      <w:r>
        <w:rPr>
          <w:rFonts w:ascii="楷体_GB2312" w:hAnsi="方正楷体_GBK" w:eastAsia="楷体_GB2312" w:cs="方正楷体_GBK"/>
          <w:b w:val="0"/>
          <w:bCs w:val="0"/>
          <w:color w:val="000000" w:themeColor="text1"/>
          <w:spacing w:val="5"/>
          <w:sz w:val="32"/>
          <w:szCs w:val="32"/>
          <w14:textFill>
            <w14:solidFill>
              <w14:schemeClr w14:val="tx1"/>
            </w14:solidFill>
          </w14:textFill>
        </w:rPr>
        <w:t>（一）加强场站用地规划与供给。</w:t>
      </w:r>
      <w:r>
        <w:rPr>
          <w:rFonts w:ascii="仿宋_GB2312" w:hAnsi="方正仿宋_GB2312" w:eastAsia="仿宋_GB2312" w:cs="方正仿宋_GB2312"/>
          <w:b w:val="0"/>
          <w:color w:val="000000" w:themeColor="text1"/>
          <w:spacing w:val="5"/>
          <w:sz w:val="32"/>
          <w:szCs w:val="32"/>
          <w14:textFill>
            <w14:solidFill>
              <w14:schemeClr w14:val="tx1"/>
            </w14:solidFill>
          </w14:textFill>
        </w:rPr>
        <w:t>政府应将公交场站用地纳入城市规划，通过划拨、协议出让等方式优先保障公交场站用地的供给。同时，随着公交线路的延伸和运营范围的扩大，应及时调整用地规划，确保场站用地的充足性和合理性。</w:t>
      </w:r>
    </w:p>
    <w:p w14:paraId="630C9595">
      <w:pPr>
        <w:pStyle w:val="4"/>
        <w:widowControl/>
        <w:spacing w:beforeAutospacing="0" w:afterAutospacing="0" w:line="560" w:lineRule="exact"/>
        <w:ind w:firstLine="660" w:firstLineChars="200"/>
        <w:rPr>
          <w:rFonts w:hint="default" w:ascii="仿宋_GB2312" w:hAnsi="方正楷体_GBK" w:eastAsia="仿宋_GB2312" w:cs="方正楷体_GBK"/>
          <w:b w:val="0"/>
          <w:bCs w:val="0"/>
          <w:color w:val="000000" w:themeColor="text1"/>
          <w:spacing w:val="5"/>
          <w:sz w:val="32"/>
          <w:szCs w:val="32"/>
          <w14:textFill>
            <w14:solidFill>
              <w14:schemeClr w14:val="tx1"/>
            </w14:solidFill>
          </w14:textFill>
        </w:rPr>
      </w:pPr>
      <w:r>
        <w:rPr>
          <w:rFonts w:ascii="楷体_GB2312" w:hAnsi="方正楷体_GBK" w:eastAsia="楷体_GB2312" w:cs="方正楷体_GBK"/>
          <w:b w:val="0"/>
          <w:bCs w:val="0"/>
          <w:color w:val="000000" w:themeColor="text1"/>
          <w:spacing w:val="5"/>
          <w:sz w:val="32"/>
          <w:szCs w:val="32"/>
          <w14:textFill>
            <w14:solidFill>
              <w14:schemeClr w14:val="tx1"/>
            </w14:solidFill>
          </w14:textFill>
        </w:rPr>
        <w:t>（二）完善财政补贴机制。</w:t>
      </w:r>
      <w:r>
        <w:rPr>
          <w:rFonts w:ascii="仿宋_GB2312" w:hAnsi="方正仿宋_GB2312" w:eastAsia="仿宋_GB2312" w:cs="方正仿宋_GB2312"/>
          <w:b w:val="0"/>
          <w:color w:val="000000" w:themeColor="text1"/>
          <w:spacing w:val="5"/>
          <w:sz w:val="32"/>
          <w:szCs w:val="32"/>
          <w14:textFill>
            <w14:solidFill>
              <w14:schemeClr w14:val="tx1"/>
            </w14:solidFill>
          </w14:textFill>
        </w:rPr>
        <w:t>建议政府建立完善的公共交通财政补贴机制，将“五免”政策的实施成本纳入年度财政预算，确保公司的正常运营。</w:t>
      </w:r>
    </w:p>
    <w:p w14:paraId="6A2F0925">
      <w:pPr>
        <w:pStyle w:val="11"/>
        <w:widowControl/>
        <w:spacing w:beforeAutospacing="0" w:afterAutospacing="0" w:line="560" w:lineRule="exact"/>
        <w:ind w:firstLine="660" w:firstLineChars="200"/>
        <w:rPr>
          <w:rFonts w:ascii="仿宋_GB2312" w:hAnsi="方正楷体_GBK" w:eastAsia="仿宋_GB2312" w:cs="方正楷体_GBK"/>
          <w:color w:val="000000" w:themeColor="text1"/>
          <w:spacing w:val="5"/>
          <w:sz w:val="32"/>
          <w:szCs w:val="32"/>
          <w14:textFill>
            <w14:solidFill>
              <w14:schemeClr w14:val="tx1"/>
            </w14:solidFill>
          </w14:textFill>
        </w:rPr>
      </w:pPr>
      <w:r>
        <w:rPr>
          <w:rFonts w:hint="eastAsia" w:ascii="楷体_GB2312" w:hAnsi="方正楷体_GBK" w:eastAsia="楷体_GB2312" w:cs="方正楷体_GBK"/>
          <w:color w:val="000000" w:themeColor="text1"/>
          <w:spacing w:val="5"/>
          <w:sz w:val="32"/>
          <w:szCs w:val="32"/>
          <w14:textFill>
            <w14:solidFill>
              <w14:schemeClr w14:val="tx1"/>
            </w14:solidFill>
          </w14:textFill>
        </w:rPr>
        <w:t>（三）对公司亏损进行财政补贴补偿。</w:t>
      </w:r>
      <w:r>
        <w:rPr>
          <w:rFonts w:hint="eastAsia" w:ascii="仿宋_GB2312" w:hAnsi="方正仿宋_GB2312" w:eastAsia="仿宋_GB2312" w:cs="方正仿宋_GB2312"/>
          <w:color w:val="000000" w:themeColor="text1"/>
          <w:spacing w:val="5"/>
          <w:sz w:val="32"/>
          <w:szCs w:val="32"/>
          <w14:textFill>
            <w14:solidFill>
              <w14:schemeClr w14:val="tx1"/>
            </w14:solidFill>
          </w14:textFill>
        </w:rPr>
        <w:t>建议每年对公司运营情况进行综合评审核算，对亏损进行财政补贴补偿。同时，应根据公司的运营情况和服务贡献，给予合理的补贴支持，鼓励公司提升服务质量。</w:t>
      </w:r>
    </w:p>
    <w:p w14:paraId="298BF935">
      <w:pPr>
        <w:pStyle w:val="4"/>
        <w:widowControl/>
        <w:spacing w:beforeAutospacing="0" w:afterAutospacing="0" w:line="560" w:lineRule="exact"/>
        <w:ind w:firstLine="660" w:firstLineChars="200"/>
        <w:rPr>
          <w:rFonts w:hint="default" w:ascii="仿宋_GB2312" w:hAnsi="方正楷体_GBK" w:eastAsia="仿宋_GB2312" w:cs="方正楷体_GBK"/>
          <w:b w:val="0"/>
          <w:bCs w:val="0"/>
          <w:color w:val="000000" w:themeColor="text1"/>
          <w:spacing w:val="5"/>
          <w:sz w:val="32"/>
          <w:szCs w:val="32"/>
          <w14:textFill>
            <w14:solidFill>
              <w14:schemeClr w14:val="tx1"/>
            </w14:solidFill>
          </w14:textFill>
        </w:rPr>
      </w:pPr>
      <w:r>
        <w:rPr>
          <w:rFonts w:ascii="楷体_GB2312" w:hAnsi="方正楷体_GBK" w:eastAsia="楷体_GB2312" w:cs="方正楷体_GBK"/>
          <w:b w:val="0"/>
          <w:bCs w:val="0"/>
          <w:color w:val="000000" w:themeColor="text1"/>
          <w:spacing w:val="5"/>
          <w:sz w:val="32"/>
          <w:szCs w:val="32"/>
          <w14:textFill>
            <w14:solidFill>
              <w14:schemeClr w14:val="tx1"/>
            </w14:solidFill>
          </w14:textFill>
        </w:rPr>
        <w:t>（四）解决职工福利保障问题。</w:t>
      </w:r>
      <w:r>
        <w:rPr>
          <w:rFonts w:ascii="仿宋_GB2312" w:hAnsi="方正仿宋_GB2312" w:eastAsia="仿宋_GB2312" w:cs="方正仿宋_GB2312"/>
          <w:b w:val="0"/>
          <w:color w:val="000000" w:themeColor="text1"/>
          <w:spacing w:val="5"/>
          <w:sz w:val="32"/>
          <w:szCs w:val="32"/>
          <w14:textFill>
            <w14:solidFill>
              <w14:schemeClr w14:val="tx1"/>
            </w14:solidFill>
          </w14:textFill>
        </w:rPr>
        <w:t>政府应重视公交从业人员的福利保障问题，通过财政支持为从业人员缴纳五险一金，提高员工的待遇水平，增强员工的归属感和工作积极性。</w:t>
      </w:r>
    </w:p>
    <w:p w14:paraId="7A50CF2B">
      <w:pPr>
        <w:pStyle w:val="11"/>
        <w:widowControl/>
        <w:spacing w:beforeAutospacing="0" w:afterAutospacing="0" w:line="560" w:lineRule="exact"/>
        <w:ind w:firstLine="660" w:firstLineChars="200"/>
        <w:rPr>
          <w:rFonts w:ascii="仿宋_GB2312" w:hAnsi="方正仿宋_GB2312" w:eastAsia="仿宋_GB2312" w:cs="方正仿宋_GB2312"/>
          <w:color w:val="000000" w:themeColor="text1"/>
          <w:spacing w:val="5"/>
          <w:sz w:val="32"/>
          <w:szCs w:val="32"/>
          <w14:textFill>
            <w14:solidFill>
              <w14:schemeClr w14:val="tx1"/>
            </w14:solidFill>
          </w14:textFill>
        </w:rPr>
      </w:pPr>
      <w:r>
        <w:rPr>
          <w:rFonts w:hint="eastAsia" w:ascii="仿宋_GB2312" w:hAnsi="方正仿宋_GB2312" w:eastAsia="仿宋_GB2312" w:cs="方正仿宋_GB2312"/>
          <w:color w:val="000000" w:themeColor="text1"/>
          <w:spacing w:val="5"/>
          <w:sz w:val="32"/>
          <w:szCs w:val="32"/>
          <w14:textFill>
            <w14:solidFill>
              <w14:schemeClr w14:val="tx1"/>
            </w14:solidFill>
          </w14:textFill>
        </w:rPr>
        <w:t>公共交通是城市发展的动脉和文明城市的窗口。通过综合改革和支持策略的实施，公司有信心克服当前面临的困难和挑战，实现公共交通事业的健康、稳定和可持续发展。公司期待与政府和社会各界携手合作，共同打造一个便捷、高效、舒适的公共交通系统，为市民提供更加优质的出行服务。</w:t>
      </w:r>
    </w:p>
    <w:p w14:paraId="61B527D1">
      <w:pPr>
        <w:pStyle w:val="11"/>
        <w:widowControl/>
        <w:spacing w:beforeAutospacing="0" w:afterAutospacing="0" w:line="560" w:lineRule="exact"/>
        <w:ind w:firstLine="660" w:firstLineChars="200"/>
        <w:rPr>
          <w:rFonts w:ascii="方正仿宋_GB2312" w:hAnsi="方正仿宋_GB2312" w:eastAsia="方正仿宋_GB2312" w:cs="方正仿宋_GB2312"/>
          <w:color w:val="000000" w:themeColor="text1"/>
          <w:spacing w:val="5"/>
          <w:sz w:val="32"/>
          <w:szCs w:val="32"/>
          <w14:textFill>
            <w14:solidFill>
              <w14:schemeClr w14:val="tx1"/>
            </w14:solidFill>
          </w14:textFill>
        </w:rPr>
      </w:pPr>
    </w:p>
    <w:p w14:paraId="53862D23">
      <w:pPr>
        <w:pStyle w:val="11"/>
        <w:widowControl/>
        <w:spacing w:beforeAutospacing="0" w:afterAutospacing="0" w:line="560" w:lineRule="exact"/>
        <w:ind w:firstLine="660" w:firstLineChars="200"/>
        <w:rPr>
          <w:rFonts w:ascii="方正仿宋_GB2312" w:hAnsi="方正仿宋_GB2312" w:eastAsia="方正仿宋_GB2312" w:cs="方正仿宋_GB2312"/>
          <w:color w:val="000000" w:themeColor="text1"/>
          <w:spacing w:val="5"/>
          <w:sz w:val="32"/>
          <w:szCs w:val="32"/>
          <w14:textFill>
            <w14:solidFill>
              <w14:schemeClr w14:val="tx1"/>
            </w14:solidFill>
          </w14:textFill>
        </w:rPr>
      </w:pPr>
    </w:p>
    <w:p w14:paraId="729409CE">
      <w:pPr>
        <w:ind w:firstLine="640" w:firstLineChars="200"/>
        <w:rPr>
          <w:sz w:val="32"/>
          <w:szCs w:val="32"/>
        </w:rPr>
      </w:pPr>
    </w:p>
    <w:p w14:paraId="175BC170">
      <w:pPr>
        <w:ind w:firstLine="640" w:firstLineChars="200"/>
        <w:rPr>
          <w:sz w:val="32"/>
          <w:szCs w:val="32"/>
        </w:rPr>
      </w:pPr>
    </w:p>
    <w:p w14:paraId="354F0CE5">
      <w:pPr>
        <w:rPr>
          <w:rFonts w:ascii="楷体_GB2312" w:hAnsi="楷体_GB2312" w:eastAsia="楷体_GB2312" w:cs="楷体_GB2312"/>
          <w:sz w:val="32"/>
          <w:szCs w:val="32"/>
        </w:rPr>
      </w:pPr>
    </w:p>
    <w:p w14:paraId="4CC15675">
      <w:pPr>
        <w:rPr>
          <w:rFonts w:ascii="楷体_GB2312" w:hAnsi="楷体_GB2312" w:eastAsia="楷体_GB2312" w:cs="楷体_GB2312"/>
          <w:sz w:val="32"/>
          <w:szCs w:val="32"/>
        </w:rPr>
      </w:pPr>
    </w:p>
    <w:p w14:paraId="0083ECB0">
      <w:pPr>
        <w:rPr>
          <w:rFonts w:ascii="楷体_GB2312" w:hAnsi="楷体_GB2312" w:eastAsia="楷体_GB2312" w:cs="楷体_GB2312"/>
          <w:sz w:val="32"/>
          <w:szCs w:val="32"/>
        </w:rPr>
      </w:pPr>
    </w:p>
    <w:p w14:paraId="136C0428">
      <w:pPr>
        <w:rPr>
          <w:rFonts w:ascii="楷体_GB2312" w:hAnsi="楷体_GB2312" w:eastAsia="楷体_GB2312" w:cs="楷体_GB2312"/>
          <w:sz w:val="32"/>
          <w:szCs w:val="32"/>
        </w:rPr>
      </w:pPr>
    </w:p>
    <w:p w14:paraId="5D3F791D">
      <w:pPr>
        <w:rPr>
          <w:rFonts w:ascii="楷体_GB2312" w:hAnsi="楷体_GB2312" w:eastAsia="楷体_GB2312" w:cs="楷体_GB2312"/>
          <w:sz w:val="32"/>
          <w:szCs w:val="32"/>
        </w:rPr>
      </w:pPr>
    </w:p>
    <w:p w14:paraId="739B6E79">
      <w:pPr>
        <w:rPr>
          <w:rFonts w:ascii="楷体_GB2312" w:hAnsi="楷体_GB2312" w:eastAsia="楷体_GB2312" w:cs="楷体_GB2312"/>
          <w:sz w:val="32"/>
          <w:szCs w:val="32"/>
        </w:rPr>
      </w:pPr>
    </w:p>
    <w:p w14:paraId="6C1C2A6D">
      <w:pPr>
        <w:rPr>
          <w:rFonts w:ascii="楷体_GB2312" w:hAnsi="楷体_GB2312" w:eastAsia="楷体_GB2312" w:cs="楷体_GB2312"/>
          <w:sz w:val="32"/>
          <w:szCs w:val="32"/>
        </w:rPr>
      </w:pPr>
    </w:p>
    <w:p w14:paraId="752B1569">
      <w:pPr>
        <w:rPr>
          <w:rFonts w:ascii="楷体_GB2312" w:hAnsi="楷体_GB2312" w:eastAsia="楷体_GB2312" w:cs="楷体_GB2312"/>
          <w:sz w:val="32"/>
          <w:szCs w:val="32"/>
        </w:rPr>
      </w:pPr>
    </w:p>
    <w:p w14:paraId="523CF87F">
      <w:pPr>
        <w:rPr>
          <w:rFonts w:ascii="楷体_GB2312" w:hAnsi="楷体_GB2312" w:eastAsia="楷体_GB2312" w:cs="楷体_GB2312"/>
          <w:sz w:val="32"/>
          <w:szCs w:val="32"/>
        </w:rPr>
      </w:pPr>
    </w:p>
    <w:p w14:paraId="74149F29">
      <w:pPr>
        <w:rPr>
          <w:rFonts w:ascii="楷体_GB2312" w:hAnsi="楷体_GB2312" w:eastAsia="楷体_GB2312" w:cs="楷体_GB2312"/>
          <w:sz w:val="32"/>
          <w:szCs w:val="32"/>
        </w:rPr>
      </w:pPr>
    </w:p>
    <w:p w14:paraId="18C7FA56">
      <w:pPr>
        <w:rPr>
          <w:rFonts w:ascii="楷体_GB2312" w:hAnsi="楷体_GB2312" w:eastAsia="楷体_GB2312" w:cs="楷体_GB2312"/>
          <w:sz w:val="32"/>
          <w:szCs w:val="32"/>
        </w:rPr>
      </w:pPr>
    </w:p>
    <w:p w14:paraId="5157B1E0">
      <w:pPr>
        <w:rPr>
          <w:rFonts w:ascii="楷体_GB2312" w:hAnsi="楷体_GB2312" w:eastAsia="楷体_GB2312" w:cs="楷体_GB2312"/>
          <w:sz w:val="32"/>
          <w:szCs w:val="32"/>
        </w:rPr>
      </w:pPr>
    </w:p>
    <w:p w14:paraId="1D449D34">
      <w:pPr>
        <w:rPr>
          <w:rFonts w:ascii="楷体_GB2312" w:hAnsi="楷体_GB2312" w:eastAsia="楷体_GB2312" w:cs="楷体_GB2312"/>
          <w:sz w:val="32"/>
          <w:szCs w:val="32"/>
        </w:rPr>
      </w:pPr>
    </w:p>
    <w:p w14:paraId="26706589">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提案编号:040</w:t>
      </w:r>
    </w:p>
    <w:p w14:paraId="2A67BBE5">
      <w:pPr>
        <w:rPr>
          <w:rFonts w:ascii="楷体_GB2312" w:eastAsia="楷体_GB2312"/>
          <w:sz w:val="32"/>
          <w:szCs w:val="32"/>
        </w:rPr>
      </w:pPr>
      <w:r>
        <w:rPr>
          <w:rFonts w:hint="eastAsia" w:ascii="楷体_GB2312" w:hAnsi="楷体_GB2312" w:eastAsia="楷体_GB2312" w:cs="楷体_GB2312"/>
          <w:sz w:val="32"/>
          <w:szCs w:val="32"/>
        </w:rPr>
        <w:t>提案名称:</w:t>
      </w:r>
      <w:r>
        <w:rPr>
          <w:rFonts w:hint="eastAsia" w:ascii="楷体_GB2312" w:eastAsia="楷体_GB2312"/>
          <w:sz w:val="32"/>
          <w:szCs w:val="32"/>
        </w:rPr>
        <w:t>关于规范城乡重要场所机构、街面牌匾的提案</w:t>
      </w:r>
    </w:p>
    <w:p w14:paraId="5D648E10">
      <w:pPr>
        <w:spacing w:line="560" w:lineRule="exact"/>
        <w:rPr>
          <w:rFonts w:ascii="楷体_GB2312" w:eastAsia="楷体_GB2312"/>
          <w:spacing w:val="-17"/>
          <w:sz w:val="32"/>
          <w:szCs w:val="32"/>
        </w:rPr>
      </w:pPr>
      <w:r>
        <w:rPr>
          <w:rFonts w:hint="eastAsia" w:ascii="楷体_GB2312" w:hAnsi="楷体_GB2312" w:eastAsia="楷体_GB2312" w:cs="楷体_GB2312"/>
          <w:sz w:val="32"/>
          <w:szCs w:val="32"/>
        </w:rPr>
        <w:t>提 案 人:殷涛</w:t>
      </w:r>
    </w:p>
    <w:p w14:paraId="7FDCD0F4">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w:t>
      </w:r>
      <w:r>
        <w:rPr>
          <w:rFonts w:ascii="楷体_GB2312" w:hAnsi="楷体_GB2312" w:eastAsia="楷体_GB2312" w:cs="楷体_GB2312"/>
          <w:sz w:val="32"/>
          <w:szCs w:val="32"/>
        </w:rPr>
        <w:t>13811418868</w:t>
      </w:r>
    </w:p>
    <w:p w14:paraId="525CD2F3">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别:文化体育和新闻</w:t>
      </w:r>
    </w:p>
    <w:p w14:paraId="0D4B621D">
      <w:pPr>
        <w:jc w:val="center"/>
        <w:rPr>
          <w:rFonts w:ascii="方正小标宋简体" w:eastAsia="方正小标宋简体"/>
          <w:sz w:val="44"/>
          <w:szCs w:val="44"/>
        </w:rPr>
      </w:pPr>
      <w:r>
        <w:rPr>
          <w:rFonts w:hint="eastAsia" w:ascii="方正小标宋简体" w:eastAsia="方正小标宋简体"/>
          <w:sz w:val="44"/>
          <w:szCs w:val="44"/>
        </w:rPr>
        <w:t>关于规范城乡重要场所机构、街面牌匾的</w:t>
      </w:r>
    </w:p>
    <w:p w14:paraId="4C7DC62A">
      <w:pPr>
        <w:jc w:val="center"/>
        <w:rPr>
          <w:rFonts w:ascii="方正小标宋简体" w:eastAsia="方正小标宋简体"/>
          <w:sz w:val="44"/>
          <w:szCs w:val="44"/>
        </w:rPr>
      </w:pPr>
      <w:r>
        <w:rPr>
          <w:rFonts w:hint="eastAsia" w:ascii="方正小标宋简体" w:eastAsia="方正小标宋简体"/>
          <w:sz w:val="44"/>
          <w:szCs w:val="44"/>
        </w:rPr>
        <w:t>提案</w:t>
      </w:r>
    </w:p>
    <w:p w14:paraId="454451A4">
      <w:pPr>
        <w:jc w:val="center"/>
        <w:rPr>
          <w:rFonts w:ascii="方正小标宋简体" w:eastAsia="方正小标宋简体"/>
          <w:sz w:val="44"/>
          <w:szCs w:val="44"/>
        </w:rPr>
      </w:pPr>
      <w:r>
        <w:rPr>
          <w:rFonts w:hint="eastAsia" w:ascii="方正小标宋简体" w:eastAsia="方正小标宋简体"/>
          <w:sz w:val="44"/>
          <w:szCs w:val="44"/>
        </w:rPr>
        <w:t xml:space="preserve">   </w:t>
      </w:r>
    </w:p>
    <w:p w14:paraId="6717CF6F">
      <w:pPr>
        <w:jc w:val="center"/>
        <w:rPr>
          <w:rFonts w:ascii="方正小标宋简体" w:eastAsia="方正小标宋简体"/>
          <w:sz w:val="44"/>
          <w:szCs w:val="44"/>
        </w:rPr>
      </w:pPr>
      <w:r>
        <w:rPr>
          <w:rFonts w:hint="eastAsia" w:ascii="方正小标宋简体" w:eastAsia="方正小标宋简体"/>
          <w:sz w:val="44"/>
          <w:szCs w:val="44"/>
        </w:rPr>
        <w:t xml:space="preserve">   </w:t>
      </w:r>
      <w:r>
        <w:rPr>
          <w:rFonts w:hint="eastAsia" w:ascii="仿宋_GB2312" w:eastAsia="仿宋_GB2312"/>
          <w:sz w:val="32"/>
          <w:szCs w:val="32"/>
        </w:rPr>
        <w:t>文化根脉需要传承与发扬光大。一个城市的形象离不开文化的积累和沉淀，同时也离不开人为的塑造。每当我们走进一座城市最能吸引我们的不仅是该城市的高楼大厦，还有文化传承和内在的文化底蕴。内在的文化底蕴胜过城市的高大建筑，而能支撑城市文化内涵的众多大街小巷的楼牌匾额，尤为重要。规划规范好城市的匾额不仅能体现出地方的文化形象，而且还能为当地旅游增添一些意想不到宣传作用。一些历史悠久的古城，历史所遗留下来的经典招牌无不透露着城市的文化气息，也会让人记忆犹新，口口相传。例如，一此百年老店不仅内在文化深厚，而且外在招牌也具经典。一座城市往往因一些百年文化传承而被成为一座城市的标志。</w:t>
      </w:r>
    </w:p>
    <w:p w14:paraId="7660B700">
      <w:pPr>
        <w:rPr>
          <w:rFonts w:ascii="仿宋_GB2312" w:eastAsia="仿宋_GB2312"/>
          <w:sz w:val="32"/>
          <w:szCs w:val="32"/>
        </w:rPr>
      </w:pPr>
      <w:r>
        <w:rPr>
          <w:rFonts w:hint="eastAsia" w:ascii="仿宋_GB2312" w:eastAsia="仿宋_GB2312"/>
          <w:sz w:val="32"/>
          <w:szCs w:val="32"/>
        </w:rPr>
        <w:t xml:space="preserve">     喀喇沁旗作为一个新打造旅游业城市，文化旅游对外形象需要用文化来点缀。打造好城市的新名片，我们更需要政府的重视和关注。</w:t>
      </w:r>
    </w:p>
    <w:p w14:paraId="682853BA">
      <w:pPr>
        <w:rPr>
          <w:rFonts w:ascii="仿宋_GB2312" w:eastAsia="仿宋_GB2312"/>
          <w:sz w:val="32"/>
          <w:szCs w:val="32"/>
        </w:rPr>
      </w:pPr>
      <w:r>
        <w:rPr>
          <w:rFonts w:hint="eastAsia" w:ascii="仿宋_GB2312" w:eastAsia="仿宋_GB2312"/>
          <w:sz w:val="32"/>
          <w:szCs w:val="32"/>
        </w:rPr>
        <w:t xml:space="preserve">     喀喇沁旗作为内蒙古第一个也是唯一一个书法之乡，借助书法之乡有利资源条件，着力用书法为载体将城市的形象用书法艺术来完善和展现。城市的面貌才能具有文化性与艺术性，能为城市增添一道亮丽风景，也彰显出了书法之乡的独有特色，树立城市的特色形象。</w:t>
      </w:r>
    </w:p>
    <w:p w14:paraId="3806F901">
      <w:pPr>
        <w:rPr>
          <w:rFonts w:ascii="黑体" w:hAnsi="黑体" w:eastAsia="黑体"/>
          <w:sz w:val="32"/>
          <w:szCs w:val="32"/>
        </w:rPr>
      </w:pPr>
      <w:r>
        <w:rPr>
          <w:rFonts w:hint="eastAsia" w:ascii="黑体" w:hAnsi="黑体" w:eastAsia="黑体"/>
          <w:sz w:val="32"/>
          <w:szCs w:val="32"/>
        </w:rPr>
        <w:t>一、存在问题</w:t>
      </w:r>
    </w:p>
    <w:p w14:paraId="0329309A">
      <w:pPr>
        <w:ind w:firstLine="640" w:firstLineChars="200"/>
        <w:rPr>
          <w:rFonts w:ascii="仿宋_GB2312" w:eastAsia="仿宋_GB2312"/>
          <w:sz w:val="32"/>
          <w:szCs w:val="32"/>
        </w:rPr>
      </w:pPr>
      <w:r>
        <w:rPr>
          <w:rFonts w:hint="eastAsia" w:ascii="仿宋_GB2312" w:eastAsia="仿宋_GB2312"/>
          <w:sz w:val="32"/>
          <w:szCs w:val="32"/>
        </w:rPr>
        <w:t>喀喇沁旗众多场所的匾额杂乱无序，极为不规范，缺少文化内涵，如机构、店面等。城市匾额文化形象需要注入文化气息，有待完善与更换。</w:t>
      </w:r>
    </w:p>
    <w:p w14:paraId="33D240FE">
      <w:pPr>
        <w:rPr>
          <w:rFonts w:ascii="黑体" w:hAnsi="黑体" w:eastAsia="黑体"/>
          <w:sz w:val="32"/>
          <w:szCs w:val="32"/>
        </w:rPr>
      </w:pPr>
      <w:r>
        <w:rPr>
          <w:rFonts w:hint="eastAsia" w:ascii="黑体" w:hAnsi="黑体" w:eastAsia="黑体"/>
          <w:sz w:val="32"/>
          <w:szCs w:val="32"/>
        </w:rPr>
        <w:t>二、建议</w:t>
      </w:r>
    </w:p>
    <w:p w14:paraId="0289EAC6">
      <w:pPr>
        <w:ind w:firstLine="640" w:firstLineChars="200"/>
        <w:rPr>
          <w:rFonts w:ascii="仿宋_GB2312" w:eastAsia="仿宋_GB2312"/>
          <w:sz w:val="32"/>
          <w:szCs w:val="32"/>
        </w:rPr>
      </w:pPr>
      <w:r>
        <w:rPr>
          <w:rFonts w:hint="eastAsia" w:ascii="仿宋_GB2312" w:eastAsia="仿宋_GB2312"/>
          <w:sz w:val="32"/>
          <w:szCs w:val="32"/>
        </w:rPr>
        <w:t>1、将锦山街里主要马路两旁重要场所机构、高大建筑物匾额统一规划，去电脑体替换为书法书写体。（比如：高速锦山西口、东口、锦山大厦、旗医院等等醒目之处）。</w:t>
      </w:r>
    </w:p>
    <w:p w14:paraId="6AF2F2BD">
      <w:pPr>
        <w:ind w:firstLine="640" w:firstLineChars="200"/>
        <w:rPr>
          <w:rFonts w:ascii="仿宋_GB2312" w:eastAsia="仿宋_GB2312"/>
          <w:sz w:val="32"/>
          <w:szCs w:val="32"/>
        </w:rPr>
      </w:pPr>
      <w:r>
        <w:rPr>
          <w:rFonts w:hint="eastAsia" w:ascii="仿宋_GB2312" w:eastAsia="仿宋_GB2312"/>
          <w:sz w:val="32"/>
          <w:szCs w:val="32"/>
        </w:rPr>
        <w:t>2、示范：将步行街打造成一条匾额规范统一的文化街区。设计制作去电脑体替换书法书写体，形成一条具有文化艺术特色的街区。</w:t>
      </w:r>
    </w:p>
    <w:p w14:paraId="42808CC9">
      <w:pPr>
        <w:spacing w:line="600" w:lineRule="exact"/>
        <w:rPr>
          <w:rFonts w:ascii="楷体_GB2312" w:hAnsi="楷体" w:eastAsia="楷体_GB2312" w:cs="仿宋_GB2312"/>
          <w:bCs/>
          <w:spacing w:val="-17"/>
          <w:sz w:val="32"/>
          <w:szCs w:val="32"/>
        </w:rPr>
      </w:pPr>
    </w:p>
    <w:p w14:paraId="690FB96B">
      <w:pPr>
        <w:spacing w:line="600" w:lineRule="exact"/>
        <w:rPr>
          <w:rFonts w:ascii="楷体_GB2312" w:hAnsi="楷体" w:eastAsia="楷体_GB2312" w:cs="仿宋_GB2312"/>
          <w:bCs/>
          <w:spacing w:val="-17"/>
          <w:sz w:val="32"/>
          <w:szCs w:val="32"/>
        </w:rPr>
      </w:pPr>
    </w:p>
    <w:p w14:paraId="7D30987C">
      <w:pPr>
        <w:spacing w:line="600" w:lineRule="exact"/>
        <w:rPr>
          <w:rFonts w:ascii="楷体_GB2312" w:hAnsi="楷体" w:eastAsia="楷体_GB2312" w:cs="仿宋_GB2312"/>
          <w:bCs/>
          <w:spacing w:val="-17"/>
          <w:sz w:val="32"/>
          <w:szCs w:val="32"/>
        </w:rPr>
      </w:pPr>
    </w:p>
    <w:p w14:paraId="31EFE712">
      <w:pPr>
        <w:spacing w:line="600" w:lineRule="exact"/>
        <w:rPr>
          <w:rFonts w:ascii="楷体_GB2312" w:hAnsi="楷体" w:eastAsia="楷体_GB2312" w:cs="仿宋_GB2312"/>
          <w:bCs/>
          <w:spacing w:val="-17"/>
          <w:sz w:val="32"/>
          <w:szCs w:val="32"/>
        </w:rPr>
      </w:pPr>
    </w:p>
    <w:p w14:paraId="71E85EA1">
      <w:pPr>
        <w:spacing w:line="600" w:lineRule="exact"/>
        <w:rPr>
          <w:rFonts w:ascii="楷体_GB2312" w:hAnsi="楷体" w:eastAsia="楷体_GB2312" w:cs="仿宋_GB2312"/>
          <w:bCs/>
          <w:spacing w:val="-17"/>
          <w:sz w:val="32"/>
          <w:szCs w:val="32"/>
        </w:rPr>
      </w:pPr>
    </w:p>
    <w:p w14:paraId="59247071">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提案编号：041</w:t>
      </w:r>
    </w:p>
    <w:p w14:paraId="2A2E566C">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提案名称：</w:t>
      </w:r>
      <w:r>
        <w:rPr>
          <w:rFonts w:hint="eastAsia" w:ascii="楷体_GB2312" w:hAnsi="楷体" w:eastAsia="楷体_GB2312" w:cs="仿宋_GB2312"/>
          <w:bCs/>
          <w:sz w:val="32"/>
          <w:szCs w:val="32"/>
        </w:rPr>
        <w:t>关于规范中学生骑行电动车的提案</w:t>
      </w:r>
    </w:p>
    <w:p w14:paraId="666CF731">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30"/>
          <w:sz w:val="32"/>
          <w:szCs w:val="32"/>
        </w:rPr>
        <w:t>提  案  人</w:t>
      </w:r>
      <w:r>
        <w:rPr>
          <w:rFonts w:hint="eastAsia" w:ascii="楷体_GB2312" w:hAnsi="楷体" w:eastAsia="楷体_GB2312" w:cs="仿宋_GB2312"/>
          <w:sz w:val="32"/>
          <w:szCs w:val="32"/>
        </w:rPr>
        <w:t>：王晓敏</w:t>
      </w:r>
      <w:r>
        <w:rPr>
          <w:rFonts w:ascii="楷体_GB2312" w:hAnsi="楷体" w:eastAsia="楷体_GB2312" w:cs="仿宋_GB2312"/>
          <w:bCs/>
          <w:spacing w:val="-17"/>
          <w:sz w:val="32"/>
          <w:szCs w:val="32"/>
        </w:rPr>
        <w:t xml:space="preserve"> </w:t>
      </w:r>
    </w:p>
    <w:p w14:paraId="5522B579">
      <w:pPr>
        <w:spacing w:line="600" w:lineRule="exact"/>
        <w:rPr>
          <w:rFonts w:ascii="楷体_GB2312" w:hAnsi="楷体" w:eastAsia="楷体_GB2312" w:cs="仿宋_GB2312"/>
          <w:sz w:val="32"/>
          <w:szCs w:val="32"/>
        </w:rPr>
      </w:pPr>
      <w:r>
        <w:rPr>
          <w:rFonts w:hint="eastAsia" w:ascii="楷体_GB2312" w:hAnsi="楷体" w:eastAsia="楷体_GB2312" w:cs="仿宋_GB2312"/>
          <w:bCs/>
          <w:spacing w:val="-17"/>
          <w:sz w:val="32"/>
          <w:szCs w:val="32"/>
        </w:rPr>
        <w:t>联系方式</w:t>
      </w:r>
      <w:r>
        <w:rPr>
          <w:rFonts w:hint="eastAsia" w:ascii="楷体_GB2312" w:hAnsi="楷体" w:eastAsia="楷体_GB2312" w:cs="仿宋_GB2312"/>
          <w:sz w:val="32"/>
          <w:szCs w:val="32"/>
        </w:rPr>
        <w:t>：15547668608</w:t>
      </w:r>
    </w:p>
    <w:p w14:paraId="319318A5">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界     别</w:t>
      </w:r>
      <w:r>
        <w:rPr>
          <w:rFonts w:hint="eastAsia" w:ascii="楷体_GB2312" w:hAnsi="楷体" w:eastAsia="楷体_GB2312" w:cs="仿宋_GB2312"/>
          <w:sz w:val="32"/>
          <w:szCs w:val="32"/>
        </w:rPr>
        <w:t>：妇女联合会</w:t>
      </w:r>
    </w:p>
    <w:p w14:paraId="72097DA7">
      <w:pPr>
        <w:jc w:val="center"/>
        <w:rPr>
          <w:rFonts w:ascii="方正小标宋简体" w:hAnsi="仿宋" w:eastAsia="方正小标宋简体"/>
          <w:sz w:val="44"/>
          <w:szCs w:val="44"/>
        </w:rPr>
      </w:pPr>
      <w:r>
        <w:rPr>
          <w:rFonts w:hint="eastAsia" w:ascii="方正小标宋简体" w:hAnsi="仿宋" w:eastAsia="方正小标宋简体"/>
          <w:sz w:val="44"/>
          <w:szCs w:val="44"/>
        </w:rPr>
        <w:t>关于规范中学生骑行电动车的提案</w:t>
      </w:r>
    </w:p>
    <w:p w14:paraId="63E4D723">
      <w:pPr>
        <w:ind w:firstLine="640" w:firstLineChars="200"/>
        <w:rPr>
          <w:rFonts w:ascii="黑体" w:hAnsi="黑体" w:eastAsia="黑体"/>
          <w:sz w:val="32"/>
          <w:szCs w:val="32"/>
        </w:rPr>
      </w:pPr>
      <w:r>
        <w:rPr>
          <w:rFonts w:hint="eastAsia" w:ascii="黑体" w:hAnsi="黑体" w:eastAsia="黑体"/>
          <w:sz w:val="32"/>
          <w:szCs w:val="32"/>
        </w:rPr>
        <w:t>一、基本情况</w:t>
      </w:r>
    </w:p>
    <w:p w14:paraId="34A53868">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随着社会经济的发展和人民生活水平的提高</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电动车以其便捷、经济的特点，逐渐成为许多中学生日常出行的选择，骑电动车上下学的现象日益普遍。然而，由于中学生身心发育尚未健全，对交通安全知识的理解不够透彻，对电动自行车的操控程度不够熟练</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中学生骑行电动车也带来了一系列安全隐患和社会问题</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因此，有必要对中学生骑行电动车的行为进行规范和管理。</w:t>
      </w:r>
    </w:p>
    <w:p w14:paraId="03841FE8">
      <w:pPr>
        <w:ind w:firstLine="640" w:firstLineChars="200"/>
        <w:rPr>
          <w:rFonts w:ascii="黑体" w:hAnsi="黑体" w:eastAsia="黑体"/>
          <w:sz w:val="32"/>
          <w:szCs w:val="32"/>
        </w:rPr>
      </w:pPr>
      <w:r>
        <w:rPr>
          <w:rFonts w:hint="eastAsia" w:ascii="黑体" w:hAnsi="黑体" w:eastAsia="黑体"/>
          <w:sz w:val="32"/>
          <w:szCs w:val="32"/>
        </w:rPr>
        <w:t>二、存在问题</w:t>
      </w:r>
    </w:p>
    <w:p w14:paraId="43EB33B1">
      <w:pPr>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1.安全意识淡薄。</w:t>
      </w:r>
      <w:r>
        <w:rPr>
          <w:rFonts w:hint="eastAsia" w:ascii="Times New Roman" w:hAnsi="Times New Roman" w:eastAsia="仿宋_GB2312" w:cs="Times New Roman"/>
          <w:sz w:val="32"/>
          <w:szCs w:val="32"/>
        </w:rPr>
        <w:t>部分中学生缺乏必要的交通安全知识，骑行电动车时往往忽视交通规则，增加了交通事故的风险。</w:t>
      </w:r>
    </w:p>
    <w:p w14:paraId="11DDDA9E">
      <w:pPr>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2.法律法规意识不强。</w:t>
      </w:r>
      <w:r>
        <w:rPr>
          <w:rFonts w:hint="eastAsia" w:ascii="Times New Roman" w:hAnsi="Times New Roman" w:eastAsia="仿宋_GB2312" w:cs="Times New Roman"/>
          <w:sz w:val="32"/>
          <w:szCs w:val="32"/>
        </w:rPr>
        <w:t>按照现行法律法规，未满一定16周岁的未成年人不得驾驶电动车上路，但仍有不少中学生违规骑行。</w:t>
      </w:r>
    </w:p>
    <w:p w14:paraId="7C83FDAE">
      <w:pPr>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3.车辆管理混乱。</w:t>
      </w:r>
      <w:r>
        <w:rPr>
          <w:rFonts w:hint="eastAsia" w:ascii="Times New Roman" w:hAnsi="Times New Roman" w:eastAsia="仿宋_GB2312" w:cs="Times New Roman"/>
          <w:sz w:val="32"/>
          <w:szCs w:val="32"/>
        </w:rPr>
        <w:t>部分电动车未经合法登记上牌，存在无牌无证上路的情况，难以有效监管。</w:t>
      </w:r>
    </w:p>
    <w:p w14:paraId="1185F367">
      <w:pPr>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4.家长监管不到位。</w:t>
      </w:r>
      <w:r>
        <w:rPr>
          <w:rFonts w:hint="eastAsia" w:ascii="Times New Roman" w:hAnsi="Times New Roman" w:eastAsia="仿宋_GB2312" w:cs="Times New Roman"/>
          <w:sz w:val="32"/>
          <w:szCs w:val="32"/>
        </w:rPr>
        <w:t>部分家长对子女骑行电动车的行为缺乏有效引导和监督，甚至默许其违规骑行，</w:t>
      </w:r>
    </w:p>
    <w:p w14:paraId="7C5C3908">
      <w:pPr>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5.不熟悉交通法规。</w:t>
      </w:r>
      <w:r>
        <w:rPr>
          <w:rFonts w:hint="eastAsia" w:ascii="Times New Roman" w:hAnsi="Times New Roman" w:eastAsia="仿宋_GB2312" w:cs="Times New Roman"/>
          <w:sz w:val="32"/>
          <w:szCs w:val="32"/>
        </w:rPr>
        <w:t>部分中学生在骑行期间存在</w:t>
      </w:r>
      <w:r>
        <w:rPr>
          <w:rFonts w:ascii="Times New Roman" w:hAnsi="Times New Roman" w:eastAsia="仿宋_GB2312" w:cs="Times New Roman"/>
          <w:sz w:val="32"/>
          <w:szCs w:val="32"/>
        </w:rPr>
        <w:t>不佩戴安全头盔、超速、超载、逆行、随意占用机动车道等违规行为</w:t>
      </w:r>
      <w:r>
        <w:rPr>
          <w:rFonts w:hint="eastAsia" w:ascii="Times New Roman" w:hAnsi="Times New Roman" w:eastAsia="仿宋_GB2312" w:cs="Times New Roman"/>
          <w:sz w:val="32"/>
          <w:szCs w:val="32"/>
        </w:rPr>
        <w:t>。</w:t>
      </w:r>
    </w:p>
    <w:p w14:paraId="59649D41">
      <w:pPr>
        <w:ind w:firstLine="640" w:firstLineChars="200"/>
        <w:rPr>
          <w:rFonts w:ascii="黑体" w:hAnsi="黑体" w:eastAsia="黑体"/>
          <w:sz w:val="32"/>
          <w:szCs w:val="32"/>
        </w:rPr>
      </w:pPr>
      <w:r>
        <w:rPr>
          <w:rFonts w:hint="eastAsia" w:ascii="黑体" w:hAnsi="黑体" w:eastAsia="黑体"/>
          <w:sz w:val="32"/>
          <w:szCs w:val="32"/>
        </w:rPr>
        <w:t>三、建议</w:t>
      </w:r>
    </w:p>
    <w:p w14:paraId="7AC1F7CC">
      <w:pPr>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1.加强交通安全教育。</w:t>
      </w:r>
      <w:r>
        <w:rPr>
          <w:rFonts w:hint="eastAsia" w:ascii="Times New Roman" w:hAnsi="Times New Roman" w:eastAsia="仿宋_GB2312" w:cs="Times New Roman"/>
          <w:sz w:val="32"/>
          <w:szCs w:val="32"/>
        </w:rPr>
        <w:t>将交通安全教育纳入学校日常教学计划，定期开展交通安全知识讲座、交通安全主题班会等活动，向学生普及骑电动车的安全知识和相关法规，增强学生的安全意识和法律意识，提高中学生的自我保护能力。</w:t>
      </w:r>
    </w:p>
    <w:p w14:paraId="2E392531">
      <w:pPr>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2.严格执行法律法规。</w:t>
      </w:r>
      <w:r>
        <w:rPr>
          <w:rFonts w:hint="eastAsia" w:ascii="Times New Roman" w:hAnsi="Times New Roman" w:eastAsia="仿宋_GB2312" w:cs="Times New Roman"/>
          <w:sz w:val="32"/>
          <w:szCs w:val="32"/>
        </w:rPr>
        <w:t>公安、教育等部门要加强对中学生骑行电动车的监管，强化对学校周边路段的巡逻管控，对未满法定年龄骑行电动车的行为进行严厉查处，安排专人负责，严查中学生骑电动车不佩戴安全头盔、违法载人、逆行、闯红灯等交通违法行为，做到发现一起、纠正一起、处罚一起。</w:t>
      </w:r>
    </w:p>
    <w:p w14:paraId="7A43274B">
      <w:pPr>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3.强化家校合作。</w:t>
      </w:r>
      <w:r>
        <w:rPr>
          <w:rFonts w:hint="eastAsia" w:ascii="Times New Roman" w:hAnsi="Times New Roman" w:eastAsia="仿宋_GB2312" w:cs="Times New Roman"/>
          <w:sz w:val="32"/>
          <w:szCs w:val="32"/>
        </w:rPr>
        <w:t>建立家校联动机制，通过家长会、家校通等方式，加强与学生家长的沟通，引导家长切实履行教育和监护责任，不为未满16周岁的孩子购买和提供电动车，加强对满16周岁子女骑行电动车的监管。另外，家长要以身作则，骑乘电动车时自觉遵守交通规则，培养孩子良好的交通行为习惯。</w:t>
      </w:r>
    </w:p>
    <w:p w14:paraId="44C98CA7">
      <w:pPr>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4.推广安全出行方式。</w:t>
      </w:r>
      <w:r>
        <w:rPr>
          <w:rFonts w:hint="eastAsia" w:ascii="Times New Roman" w:hAnsi="Times New Roman" w:eastAsia="仿宋_GB2312" w:cs="Times New Roman"/>
          <w:sz w:val="32"/>
          <w:szCs w:val="32"/>
        </w:rPr>
        <w:t>鼓励中学生采用步行、骑自行车、乘坐公共交通等安全出行方式，减少电动车的使用。同时，优化校园周边交通环境，为学生提供更加便捷、安全的出行条件。</w:t>
      </w:r>
    </w:p>
    <w:p w14:paraId="6C293D5F">
      <w:pPr>
        <w:ind w:firstLine="640" w:firstLineChars="200"/>
        <w:rPr>
          <w:rFonts w:ascii="Times New Roman" w:hAnsi="Times New Roman" w:eastAsia="仿宋_GB2312" w:cs="Times New Roman"/>
          <w:sz w:val="32"/>
          <w:szCs w:val="32"/>
        </w:rPr>
      </w:pPr>
    </w:p>
    <w:p w14:paraId="16A18002">
      <w:pPr>
        <w:ind w:firstLine="640" w:firstLineChars="200"/>
        <w:rPr>
          <w:rFonts w:ascii="Times New Roman" w:hAnsi="Times New Roman" w:eastAsia="仿宋_GB2312" w:cs="Times New Roman"/>
          <w:sz w:val="32"/>
          <w:szCs w:val="32"/>
        </w:rPr>
      </w:pPr>
    </w:p>
    <w:p w14:paraId="42194CEB">
      <w:pPr>
        <w:spacing w:line="580" w:lineRule="exact"/>
        <w:rPr>
          <w:rFonts w:ascii="楷体_GB2312" w:hAnsi="楷体" w:eastAsia="楷体_GB2312" w:cs="楷体"/>
          <w:sz w:val="32"/>
          <w:szCs w:val="32"/>
        </w:rPr>
      </w:pPr>
    </w:p>
    <w:p w14:paraId="3A059AC0">
      <w:pPr>
        <w:spacing w:line="580" w:lineRule="exact"/>
        <w:rPr>
          <w:rFonts w:ascii="楷体_GB2312" w:hAnsi="楷体" w:eastAsia="楷体_GB2312" w:cs="楷体"/>
          <w:sz w:val="32"/>
          <w:szCs w:val="32"/>
        </w:rPr>
      </w:pPr>
    </w:p>
    <w:p w14:paraId="5EB07BEC">
      <w:pPr>
        <w:spacing w:line="580" w:lineRule="exact"/>
        <w:rPr>
          <w:rFonts w:ascii="楷体_GB2312" w:hAnsi="楷体" w:eastAsia="楷体_GB2312" w:cs="楷体"/>
          <w:sz w:val="32"/>
          <w:szCs w:val="32"/>
        </w:rPr>
      </w:pPr>
    </w:p>
    <w:p w14:paraId="380203AF">
      <w:pPr>
        <w:spacing w:line="580" w:lineRule="exact"/>
        <w:rPr>
          <w:rFonts w:ascii="楷体_GB2312" w:hAnsi="楷体" w:eastAsia="楷体_GB2312" w:cs="楷体"/>
          <w:sz w:val="32"/>
          <w:szCs w:val="32"/>
        </w:rPr>
      </w:pPr>
    </w:p>
    <w:p w14:paraId="0FD4536F">
      <w:pPr>
        <w:spacing w:line="580" w:lineRule="exact"/>
        <w:rPr>
          <w:rFonts w:ascii="楷体_GB2312" w:hAnsi="楷体" w:eastAsia="楷体_GB2312" w:cs="楷体"/>
          <w:sz w:val="32"/>
          <w:szCs w:val="32"/>
        </w:rPr>
      </w:pPr>
    </w:p>
    <w:p w14:paraId="1BE2FD54">
      <w:pPr>
        <w:spacing w:line="580" w:lineRule="exact"/>
        <w:rPr>
          <w:rFonts w:ascii="楷体_GB2312" w:hAnsi="楷体" w:eastAsia="楷体_GB2312" w:cs="楷体"/>
          <w:sz w:val="32"/>
          <w:szCs w:val="32"/>
        </w:rPr>
      </w:pPr>
    </w:p>
    <w:p w14:paraId="3D561CE6">
      <w:pPr>
        <w:spacing w:line="580" w:lineRule="exact"/>
        <w:rPr>
          <w:rFonts w:ascii="楷体_GB2312" w:hAnsi="楷体" w:eastAsia="楷体_GB2312" w:cs="楷体"/>
          <w:sz w:val="32"/>
          <w:szCs w:val="32"/>
        </w:rPr>
      </w:pPr>
    </w:p>
    <w:p w14:paraId="42F93848">
      <w:pPr>
        <w:spacing w:line="580" w:lineRule="exact"/>
        <w:rPr>
          <w:rFonts w:ascii="楷体_GB2312" w:hAnsi="楷体" w:eastAsia="楷体_GB2312" w:cs="楷体"/>
          <w:sz w:val="32"/>
          <w:szCs w:val="32"/>
        </w:rPr>
      </w:pPr>
    </w:p>
    <w:p w14:paraId="476D197D">
      <w:pPr>
        <w:spacing w:line="580" w:lineRule="exact"/>
        <w:rPr>
          <w:rFonts w:ascii="楷体_GB2312" w:hAnsi="楷体" w:eastAsia="楷体_GB2312" w:cs="楷体"/>
          <w:sz w:val="32"/>
          <w:szCs w:val="32"/>
        </w:rPr>
      </w:pPr>
    </w:p>
    <w:p w14:paraId="4B8E9905">
      <w:pPr>
        <w:spacing w:line="580" w:lineRule="exact"/>
        <w:rPr>
          <w:rFonts w:ascii="楷体_GB2312" w:hAnsi="楷体" w:eastAsia="楷体_GB2312" w:cs="楷体"/>
          <w:sz w:val="32"/>
          <w:szCs w:val="32"/>
        </w:rPr>
      </w:pPr>
    </w:p>
    <w:p w14:paraId="4D647E59">
      <w:pPr>
        <w:spacing w:line="580" w:lineRule="exact"/>
        <w:rPr>
          <w:rFonts w:ascii="楷体_GB2312" w:hAnsi="楷体" w:eastAsia="楷体_GB2312" w:cs="楷体"/>
          <w:sz w:val="32"/>
          <w:szCs w:val="32"/>
        </w:rPr>
      </w:pPr>
    </w:p>
    <w:p w14:paraId="4B13A8D5">
      <w:pPr>
        <w:spacing w:line="580" w:lineRule="exact"/>
        <w:rPr>
          <w:rFonts w:ascii="楷体_GB2312" w:hAnsi="楷体" w:eastAsia="楷体_GB2312" w:cs="楷体"/>
          <w:sz w:val="32"/>
          <w:szCs w:val="32"/>
        </w:rPr>
      </w:pPr>
    </w:p>
    <w:p w14:paraId="4ADDCE43">
      <w:pPr>
        <w:spacing w:line="580" w:lineRule="exact"/>
        <w:rPr>
          <w:rFonts w:ascii="楷体_GB2312" w:hAnsi="楷体" w:eastAsia="楷体_GB2312" w:cs="楷体"/>
          <w:sz w:val="32"/>
          <w:szCs w:val="32"/>
        </w:rPr>
      </w:pPr>
    </w:p>
    <w:p w14:paraId="1B30A321">
      <w:pPr>
        <w:spacing w:line="580" w:lineRule="exact"/>
        <w:rPr>
          <w:rFonts w:ascii="楷体_GB2312" w:hAnsi="楷体" w:eastAsia="楷体_GB2312" w:cs="楷体"/>
          <w:sz w:val="32"/>
          <w:szCs w:val="32"/>
        </w:rPr>
      </w:pPr>
    </w:p>
    <w:p w14:paraId="3A296C75">
      <w:pPr>
        <w:spacing w:line="580" w:lineRule="exact"/>
        <w:rPr>
          <w:rFonts w:ascii="楷体_GB2312" w:hAnsi="楷体" w:eastAsia="楷体_GB2312" w:cs="楷体"/>
          <w:sz w:val="32"/>
          <w:szCs w:val="32"/>
        </w:rPr>
      </w:pPr>
    </w:p>
    <w:p w14:paraId="6E5941CE">
      <w:pPr>
        <w:spacing w:line="580" w:lineRule="exact"/>
        <w:rPr>
          <w:rFonts w:ascii="楷体_GB2312" w:hAnsi="楷体" w:eastAsia="楷体_GB2312" w:cs="楷体"/>
          <w:sz w:val="32"/>
          <w:szCs w:val="32"/>
        </w:rPr>
      </w:pPr>
    </w:p>
    <w:p w14:paraId="4C197969">
      <w:pPr>
        <w:spacing w:line="580" w:lineRule="exact"/>
        <w:rPr>
          <w:rFonts w:ascii="楷体_GB2312" w:hAnsi="楷体" w:eastAsia="楷体_GB2312" w:cs="楷体"/>
          <w:sz w:val="32"/>
          <w:szCs w:val="32"/>
        </w:rPr>
      </w:pPr>
    </w:p>
    <w:p w14:paraId="36658743">
      <w:pPr>
        <w:spacing w:line="580" w:lineRule="exact"/>
        <w:rPr>
          <w:rFonts w:ascii="楷体_GB2312" w:hAnsi="楷体" w:eastAsia="楷体_GB2312" w:cs="楷体"/>
          <w:sz w:val="32"/>
          <w:szCs w:val="32"/>
        </w:rPr>
      </w:pPr>
      <w:r>
        <w:rPr>
          <w:rFonts w:hint="eastAsia" w:ascii="楷体_GB2312" w:hAnsi="楷体" w:eastAsia="楷体_GB2312" w:cs="楷体"/>
          <w:sz w:val="32"/>
          <w:szCs w:val="32"/>
        </w:rPr>
        <w:t>提案编号:042</w:t>
      </w:r>
    </w:p>
    <w:p w14:paraId="59D4506F">
      <w:pPr>
        <w:spacing w:line="580" w:lineRule="exact"/>
        <w:rPr>
          <w:rFonts w:ascii="楷体_GB2312" w:hAnsi="楷体" w:eastAsia="楷体_GB2312" w:cs="楷体"/>
          <w:sz w:val="32"/>
          <w:szCs w:val="32"/>
        </w:rPr>
      </w:pPr>
      <w:r>
        <w:rPr>
          <w:rFonts w:hint="eastAsia" w:ascii="楷体_GB2312" w:hAnsi="楷体" w:eastAsia="楷体_GB2312" w:cs="楷体"/>
          <w:sz w:val="32"/>
          <w:szCs w:val="32"/>
        </w:rPr>
        <w:t>提案名称:关于加快解决老旧小区停车难问题的提案</w:t>
      </w:r>
    </w:p>
    <w:p w14:paraId="733C333F">
      <w:pPr>
        <w:spacing w:line="580" w:lineRule="exact"/>
        <w:rPr>
          <w:rFonts w:ascii="楷体_GB2312" w:hAnsi="楷体" w:eastAsia="楷体_GB2312" w:cs="楷体"/>
          <w:spacing w:val="-17"/>
          <w:sz w:val="32"/>
          <w:szCs w:val="32"/>
        </w:rPr>
      </w:pPr>
      <w:r>
        <w:rPr>
          <w:rFonts w:hint="eastAsia" w:ascii="楷体_GB2312" w:hAnsi="楷体" w:eastAsia="楷体_GB2312" w:cs="楷体"/>
          <w:sz w:val="32"/>
          <w:szCs w:val="32"/>
        </w:rPr>
        <w:t>提 案 人: 兰金学</w:t>
      </w:r>
    </w:p>
    <w:p w14:paraId="1B9726A5">
      <w:pPr>
        <w:spacing w:line="580" w:lineRule="exact"/>
        <w:rPr>
          <w:rFonts w:ascii="楷体_GB2312" w:hAnsi="楷体" w:eastAsia="楷体_GB2312" w:cs="楷体"/>
          <w:sz w:val="32"/>
          <w:szCs w:val="32"/>
        </w:rPr>
      </w:pPr>
      <w:r>
        <w:rPr>
          <w:rFonts w:hint="eastAsia" w:ascii="楷体_GB2312" w:hAnsi="楷体" w:eastAsia="楷体_GB2312" w:cs="楷体"/>
          <w:sz w:val="32"/>
          <w:szCs w:val="32"/>
        </w:rPr>
        <w:t>联系方式：15389767776</w:t>
      </w:r>
    </w:p>
    <w:p w14:paraId="38C00114">
      <w:pPr>
        <w:spacing w:line="580" w:lineRule="exact"/>
        <w:rPr>
          <w:rFonts w:ascii="楷体_GB2312" w:hAnsi="楷体" w:eastAsia="楷体_GB2312" w:cs="楷体"/>
          <w:sz w:val="32"/>
          <w:szCs w:val="32"/>
        </w:rPr>
      </w:pPr>
      <w:r>
        <w:rPr>
          <w:rFonts w:hint="eastAsia" w:ascii="楷体_GB2312" w:hAnsi="楷体" w:eastAsia="楷体_GB2312" w:cs="楷体"/>
          <w:sz w:val="32"/>
          <w:szCs w:val="32"/>
        </w:rPr>
        <w:t>界    别:中国共产党</w:t>
      </w:r>
    </w:p>
    <w:p w14:paraId="379EDABF">
      <w:pPr>
        <w:spacing w:before="312" w:beforeLines="100" w:after="312" w:afterLines="100"/>
        <w:jc w:val="center"/>
        <w:rPr>
          <w:rFonts w:ascii="方正小标宋简体" w:hAnsi="华文中宋" w:eastAsia="方正小标宋简体" w:cs="华文中宋"/>
          <w:sz w:val="44"/>
          <w:szCs w:val="44"/>
        </w:rPr>
      </w:pPr>
      <w:r>
        <w:rPr>
          <w:rFonts w:hint="eastAsia" w:ascii="方正小标宋简体" w:hAnsi="华文中宋" w:eastAsia="方正小标宋简体" w:cs="华文中宋"/>
          <w:sz w:val="44"/>
          <w:szCs w:val="44"/>
        </w:rPr>
        <w:t>关于加快解决老旧小区停车难问题的提案</w:t>
      </w:r>
    </w:p>
    <w:p w14:paraId="111E72B7">
      <w:pPr>
        <w:pStyle w:val="11"/>
        <w:shd w:val="clear" w:color="auto" w:fill="FFFFFF"/>
        <w:spacing w:beforeAutospacing="0" w:afterAutospacing="0" w:line="600" w:lineRule="exact"/>
        <w:ind w:firstLine="555"/>
        <w:rPr>
          <w:rFonts w:ascii="仿宋_GB2312" w:hAnsi="华文仿宋" w:eastAsia="仿宋_GB2312" w:cs="华文仿宋"/>
          <w:sz w:val="32"/>
          <w:szCs w:val="32"/>
        </w:rPr>
      </w:pPr>
      <w:r>
        <w:rPr>
          <w:rFonts w:hint="eastAsia" w:ascii="仿宋_GB2312" w:hAnsi="华文仿宋" w:eastAsia="仿宋_GB2312" w:cs="华文仿宋"/>
          <w:sz w:val="32"/>
          <w:szCs w:val="32"/>
          <w:shd w:val="clear" w:color="auto" w:fill="FFFFFF"/>
        </w:rPr>
        <w:t>随着城镇化步伐推进，私家车增多及小区建设之初规划的相对滞后，造成现在不少老旧小区停车难问题越来越突出。无处停车已成为众多居民回家时的烦恼，而且由于小区内没处停车，导致不少路段时常有车辆占道停泊，进而又加重了城市的交通拥堵。如何缓解老旧小区停车难，已是一个涉及面广、刻不容缓急需解决的民生问题。</w:t>
      </w:r>
    </w:p>
    <w:p w14:paraId="1BE42B93">
      <w:pPr>
        <w:pStyle w:val="11"/>
        <w:shd w:val="clear" w:color="auto" w:fill="FFFFFF"/>
        <w:spacing w:beforeAutospacing="0" w:afterAutospacing="0" w:line="600" w:lineRule="exact"/>
        <w:ind w:firstLine="555"/>
        <w:rPr>
          <w:rFonts w:ascii="黑体" w:hAnsi="黑体" w:eastAsia="黑体" w:cs="黑体"/>
          <w:sz w:val="32"/>
          <w:szCs w:val="32"/>
        </w:rPr>
      </w:pPr>
      <w:r>
        <w:rPr>
          <w:rFonts w:hint="eastAsia" w:ascii="黑体" w:hAnsi="黑体" w:eastAsia="黑体" w:cs="黑体"/>
          <w:sz w:val="32"/>
          <w:szCs w:val="32"/>
          <w:shd w:val="clear" w:color="auto" w:fill="FFFFFF"/>
        </w:rPr>
        <w:t>一、目前存在主要问题</w:t>
      </w:r>
    </w:p>
    <w:p w14:paraId="1FD371C7">
      <w:pPr>
        <w:pStyle w:val="11"/>
        <w:spacing w:beforeAutospacing="0" w:afterAutospacing="0" w:line="600" w:lineRule="exact"/>
        <w:ind w:firstLine="640" w:firstLineChars="200"/>
        <w:rPr>
          <w:rFonts w:ascii="仿宋_GB2312" w:hAnsi="华文仿宋" w:eastAsia="仿宋_GB2312" w:cs="华文仿宋"/>
          <w:sz w:val="32"/>
          <w:szCs w:val="32"/>
          <w:shd w:val="clear" w:color="auto" w:fill="FFFFFF"/>
          <w:lang w:bidi="ar"/>
        </w:rPr>
      </w:pPr>
      <w:r>
        <w:rPr>
          <w:rFonts w:hint="eastAsia" w:ascii="楷体_GB2312" w:hAnsi="楷体" w:eastAsia="楷体_GB2312" w:cs="楷体"/>
          <w:sz w:val="32"/>
          <w:szCs w:val="32"/>
          <w:shd w:val="clear" w:color="auto" w:fill="FFFFFF"/>
        </w:rPr>
        <w:t>（一）车多位少导致</w:t>
      </w:r>
      <w:r>
        <w:rPr>
          <w:rFonts w:hint="eastAsia" w:ascii="楷体_GB2312" w:hAnsi="楷体" w:eastAsia="楷体_GB2312" w:cs="楷体"/>
          <w:sz w:val="32"/>
          <w:szCs w:val="32"/>
          <w:shd w:val="clear" w:color="auto" w:fill="FFFFFF"/>
          <w:lang w:bidi="ar"/>
        </w:rPr>
        <w:t>供需失衡。</w:t>
      </w:r>
      <w:r>
        <w:rPr>
          <w:rFonts w:hint="eastAsia" w:ascii="仿宋_GB2312" w:hAnsi="华文仿宋" w:eastAsia="仿宋_GB2312" w:cs="华文仿宋"/>
          <w:sz w:val="32"/>
          <w:szCs w:val="32"/>
          <w:shd w:val="clear" w:color="auto" w:fill="FFFFFF"/>
          <w:lang w:bidi="ar"/>
        </w:rPr>
        <w:t>老旧小区建成时间较早，当时配件指标较低，好多小区没有规划停车位或设置停车场；即使有，数量也极其有限。随着社会进步和经济发展，一个家庭拥有一台轿车已不稀奇，暂不论车价高低，有的甚至两到三台，汽车保有量的日益增长，导致车多位少、供需失衡。</w:t>
      </w:r>
    </w:p>
    <w:p w14:paraId="5C6F5136">
      <w:pPr>
        <w:pStyle w:val="11"/>
        <w:shd w:val="clear" w:color="auto" w:fill="FFFFFF"/>
        <w:spacing w:beforeAutospacing="0" w:afterAutospacing="0" w:line="600" w:lineRule="exact"/>
        <w:ind w:firstLine="555"/>
        <w:rPr>
          <w:rFonts w:ascii="仿宋_GB2312" w:hAnsi="华文仿宋" w:eastAsia="仿宋_GB2312" w:cs="华文仿宋"/>
          <w:sz w:val="32"/>
          <w:szCs w:val="32"/>
        </w:rPr>
      </w:pPr>
      <w:r>
        <w:rPr>
          <w:rFonts w:hint="eastAsia" w:ascii="楷体" w:hAnsi="楷体" w:eastAsia="楷体" w:cs="楷体"/>
          <w:sz w:val="32"/>
          <w:szCs w:val="32"/>
          <w:shd w:val="clear" w:color="auto" w:fill="FFFFFF"/>
        </w:rPr>
        <w:t>（</w:t>
      </w:r>
      <w:r>
        <w:rPr>
          <w:rFonts w:hint="eastAsia" w:ascii="楷体_GB2312" w:hAnsi="楷体" w:eastAsia="楷体_GB2312" w:cs="楷体"/>
          <w:sz w:val="32"/>
          <w:szCs w:val="32"/>
          <w:shd w:val="clear" w:color="auto" w:fill="FFFFFF"/>
        </w:rPr>
        <w:t>二）管理缺位导致无序停泊。</w:t>
      </w:r>
      <w:r>
        <w:rPr>
          <w:rFonts w:hint="eastAsia" w:ascii="仿宋_GB2312" w:hAnsi="华文仿宋" w:eastAsia="仿宋_GB2312" w:cs="华文仿宋"/>
          <w:sz w:val="32"/>
          <w:szCs w:val="32"/>
          <w:shd w:val="clear" w:color="auto" w:fill="FFFFFF"/>
        </w:rPr>
        <w:t>因为车量大大超出车位数，街道社区、物业公司也不可能不让小区内的车主进出自己的家园，目前通常采用的是先到先得，后到也得进去的态势，邻里之间停车经常停不下或是相互堵住，无序停车导致车库被堵、应急和消防通道阻塞等诸多乱象。</w:t>
      </w:r>
    </w:p>
    <w:p w14:paraId="6215311F">
      <w:pPr>
        <w:pStyle w:val="11"/>
        <w:shd w:val="clear" w:color="auto" w:fill="FFFFFF"/>
        <w:spacing w:beforeAutospacing="0" w:afterAutospacing="0" w:line="600" w:lineRule="exact"/>
        <w:ind w:firstLine="555"/>
        <w:rPr>
          <w:rFonts w:ascii="仿宋_GB2312" w:hAnsi="华文仿宋" w:eastAsia="仿宋_GB2312" w:cs="华文仿宋"/>
          <w:sz w:val="32"/>
          <w:szCs w:val="32"/>
        </w:rPr>
      </w:pPr>
      <w:r>
        <w:rPr>
          <w:rFonts w:hint="eastAsia" w:ascii="楷体_GB2312" w:hAnsi="楷体" w:eastAsia="楷体_GB2312" w:cs="楷体"/>
          <w:sz w:val="32"/>
          <w:szCs w:val="32"/>
          <w:shd w:val="clear" w:color="auto" w:fill="FFFFFF"/>
        </w:rPr>
        <w:t>（三）制度缺失导致无计可施。</w:t>
      </w:r>
      <w:r>
        <w:rPr>
          <w:rFonts w:hint="eastAsia" w:ascii="仿宋_GB2312" w:hAnsi="华文仿宋" w:eastAsia="仿宋_GB2312" w:cs="华文仿宋"/>
          <w:sz w:val="32"/>
          <w:szCs w:val="32"/>
          <w:shd w:val="clear" w:color="auto" w:fill="FFFFFF"/>
        </w:rPr>
        <w:t>街道社区希望通过加宽小区内道路、调整绿化等方式增加停车位，但因为受到规划容积率、绿化面积等硬性规定的束缚，很难开展工作。如果这些工程要上马，光做群众工作是很难行得通的，只有规划先行、制度护航，才能更有效的解决增加小区车位的问题。</w:t>
      </w:r>
    </w:p>
    <w:p w14:paraId="58B6697F">
      <w:pPr>
        <w:pStyle w:val="11"/>
        <w:shd w:val="clear" w:color="auto" w:fill="FFFFFF"/>
        <w:spacing w:beforeAutospacing="0" w:afterAutospacing="0" w:line="600" w:lineRule="exact"/>
        <w:ind w:firstLine="555"/>
        <w:rPr>
          <w:rFonts w:ascii="仿宋_GB2312" w:hAnsi="华文仿宋" w:eastAsia="仿宋_GB2312" w:cs="华文仿宋"/>
          <w:sz w:val="32"/>
          <w:szCs w:val="32"/>
          <w:shd w:val="clear" w:color="auto" w:fill="FFFFFF"/>
        </w:rPr>
      </w:pPr>
      <w:r>
        <w:rPr>
          <w:rFonts w:hint="eastAsia" w:ascii="楷体_GB2312" w:hAnsi="楷体" w:eastAsia="楷体_GB2312" w:cs="楷体"/>
          <w:sz w:val="32"/>
          <w:szCs w:val="32"/>
          <w:shd w:val="clear" w:color="auto" w:fill="FFFFFF"/>
        </w:rPr>
        <w:t>（四）各行其是导致资源浪费。</w:t>
      </w:r>
      <w:r>
        <w:rPr>
          <w:rFonts w:hint="eastAsia" w:ascii="仿宋_GB2312" w:hAnsi="华文仿宋" w:eastAsia="仿宋_GB2312" w:cs="华文仿宋"/>
          <w:sz w:val="32"/>
          <w:szCs w:val="32"/>
          <w:shd w:val="clear" w:color="auto" w:fill="FFFFFF"/>
        </w:rPr>
        <w:t>多数汽车每天停放时间有规律可循，如白天到单位、晚上回小区。相对早到小区的有地方停，而晚到的只能停到小区周边马路及人行道上，马路晚间错时停车会增加交警和执法队员的工作量，但是能一定程度上缓解小区内停车难。但马路上有些地方做了路障，有些地方违停会被开罚单。</w:t>
      </w:r>
    </w:p>
    <w:p w14:paraId="60B1610E">
      <w:pPr>
        <w:pStyle w:val="11"/>
        <w:shd w:val="clear" w:color="auto" w:fill="FFFFFF"/>
        <w:spacing w:beforeAutospacing="0" w:afterAutospacing="0" w:line="600" w:lineRule="exact"/>
        <w:ind w:firstLine="555"/>
        <w:rPr>
          <w:rFonts w:ascii="黑体" w:hAnsi="黑体" w:eastAsia="黑体" w:cs="黑体"/>
          <w:sz w:val="32"/>
          <w:szCs w:val="32"/>
        </w:rPr>
      </w:pPr>
      <w:r>
        <w:rPr>
          <w:rFonts w:hint="eastAsia" w:ascii="黑体" w:hAnsi="黑体" w:eastAsia="黑体" w:cs="黑体"/>
          <w:sz w:val="32"/>
          <w:szCs w:val="32"/>
          <w:shd w:val="clear" w:color="auto" w:fill="FFFFFF"/>
        </w:rPr>
        <w:t>二、解决停车难的几点建议</w:t>
      </w:r>
    </w:p>
    <w:p w14:paraId="605CA357">
      <w:pPr>
        <w:pStyle w:val="11"/>
        <w:shd w:val="clear" w:color="auto" w:fill="FFFFFF"/>
        <w:spacing w:beforeAutospacing="0" w:afterAutospacing="0" w:line="600" w:lineRule="exact"/>
        <w:ind w:firstLine="555"/>
        <w:jc w:val="both"/>
        <w:rPr>
          <w:rFonts w:ascii="仿宋_GB2312" w:hAnsi="华文仿宋" w:eastAsia="仿宋_GB2312" w:cs="华文仿宋"/>
          <w:sz w:val="32"/>
          <w:szCs w:val="32"/>
          <w:shd w:val="clear" w:color="auto" w:fill="FFFFFF"/>
        </w:rPr>
      </w:pPr>
      <w:r>
        <w:rPr>
          <w:rFonts w:hint="eastAsia" w:ascii="楷体_GB2312" w:hAnsi="楷体" w:eastAsia="楷体_GB2312" w:cs="楷体"/>
          <w:sz w:val="32"/>
          <w:szCs w:val="32"/>
          <w:shd w:val="clear" w:color="auto" w:fill="FFFFFF"/>
        </w:rPr>
        <w:t>（一）科学布局，合理规划。</w:t>
      </w:r>
      <w:r>
        <w:rPr>
          <w:rFonts w:hint="eastAsia" w:ascii="仿宋_GB2312" w:hAnsi="华文仿宋" w:eastAsia="仿宋_GB2312" w:cs="华文仿宋"/>
          <w:sz w:val="32"/>
          <w:szCs w:val="32"/>
          <w:shd w:val="clear" w:color="auto" w:fill="FFFFFF"/>
        </w:rPr>
        <w:t>相关职能部门在推进新小区规划和老旧小区改造中，可根据相关规范及实际需求合理利用地上地下空间，</w:t>
      </w:r>
      <w:r>
        <w:rPr>
          <w:rFonts w:hint="eastAsia" w:ascii="仿宋_GB2312" w:hAnsi="华文仿宋" w:eastAsia="仿宋_GB2312" w:cs="华文仿宋"/>
          <w:sz w:val="32"/>
          <w:szCs w:val="32"/>
        </w:rPr>
        <w:t>对其中部分空地、不合理布局的盲道和其他公共设施进行审批改造，</w:t>
      </w:r>
      <w:r>
        <w:rPr>
          <w:rFonts w:hint="eastAsia" w:ascii="仿宋_GB2312" w:hAnsi="华文仿宋" w:eastAsia="仿宋_GB2312" w:cs="华文仿宋"/>
          <w:sz w:val="32"/>
          <w:szCs w:val="32"/>
          <w:shd w:val="clear" w:color="auto" w:fill="FFFFFF"/>
        </w:rPr>
        <w:t>科学规划出足够的停车库和停车位，</w:t>
      </w:r>
      <w:r>
        <w:rPr>
          <w:rFonts w:hint="eastAsia" w:ascii="仿宋_GB2312" w:hAnsi="华文仿宋" w:eastAsia="仿宋_GB2312" w:cs="华文仿宋"/>
          <w:sz w:val="32"/>
          <w:szCs w:val="32"/>
        </w:rPr>
        <w:t>彻底改善小区环境。</w:t>
      </w:r>
      <w:r>
        <w:rPr>
          <w:rFonts w:hint="eastAsia" w:ascii="仿宋_GB2312" w:hAnsi="华文仿宋" w:eastAsia="仿宋_GB2312" w:cs="华文仿宋"/>
          <w:sz w:val="32"/>
          <w:szCs w:val="32"/>
          <w:shd w:val="clear" w:color="auto" w:fill="FFFFFF"/>
        </w:rPr>
        <w:t>车库车位规划不满足配建标准的坚决不予发放建筑工程规划许可证，以满足居民停车的需求。</w:t>
      </w:r>
    </w:p>
    <w:p w14:paraId="3F136EBC">
      <w:pPr>
        <w:pStyle w:val="11"/>
        <w:shd w:val="clear" w:color="auto" w:fill="FFFFFF"/>
        <w:spacing w:beforeAutospacing="0" w:afterAutospacing="0" w:line="600" w:lineRule="exact"/>
        <w:ind w:firstLine="555"/>
        <w:rPr>
          <w:rFonts w:ascii="仿宋_GB2312" w:hAnsi="华文仿宋" w:eastAsia="仿宋_GB2312" w:cs="华文仿宋"/>
          <w:sz w:val="32"/>
          <w:szCs w:val="32"/>
          <w:shd w:val="clear" w:color="auto" w:fill="FFFFFF"/>
        </w:rPr>
      </w:pPr>
      <w:r>
        <w:rPr>
          <w:rFonts w:hint="eastAsia" w:ascii="楷体_GB2312" w:hAnsi="楷体" w:eastAsia="楷体_GB2312" w:cs="楷体"/>
          <w:sz w:val="32"/>
          <w:szCs w:val="32"/>
          <w:shd w:val="clear" w:color="auto" w:fill="FFFFFF"/>
        </w:rPr>
        <w:t>（二）多方共治，形成合力。</w:t>
      </w:r>
      <w:r>
        <w:rPr>
          <w:rFonts w:hint="eastAsia" w:ascii="仿宋_GB2312" w:hAnsi="华文仿宋" w:eastAsia="仿宋_GB2312" w:cs="华文仿宋"/>
          <w:sz w:val="32"/>
          <w:szCs w:val="32"/>
          <w:shd w:val="clear" w:color="auto" w:fill="FFFFFF"/>
        </w:rPr>
        <w:t>一是联合交警、消防部门协助小区物业，帮助其科学规划、设计停车位，规范停车管理，缓解业主停车压力，配合各小区物业完善消防通道标识、标线；二是引导综合执法进小区。对于非法占堵消防通道等违法车辆将加大整治、处罚力度，规范市民行为，做到防患于未然。责成各物业服务企业清理拆除各类违章建筑物和侵占绿地、道路的违法建筑，最大限度利用好现有资源；三是充分发挥业主委员会自治作用，制定小区停车管理公约，协助小区物业加强对小区停车管理。对于长期停放在小区内的“僵尸车”“广告车”，协调车辆所有人移离。</w:t>
      </w:r>
    </w:p>
    <w:p w14:paraId="27EE2B0F">
      <w:pPr>
        <w:pStyle w:val="11"/>
        <w:shd w:val="clear" w:color="auto" w:fill="FFFFFF"/>
        <w:spacing w:beforeAutospacing="0" w:afterAutospacing="0" w:line="600" w:lineRule="exact"/>
        <w:ind w:firstLine="555"/>
        <w:rPr>
          <w:rFonts w:ascii="仿宋_GB2312" w:hAnsi="华文仿宋" w:eastAsia="仿宋_GB2312" w:cs="华文仿宋"/>
          <w:sz w:val="32"/>
          <w:szCs w:val="32"/>
          <w:shd w:val="clear" w:color="auto" w:fill="FFFFFF"/>
        </w:rPr>
      </w:pPr>
      <w:r>
        <w:rPr>
          <w:rFonts w:hint="eastAsia" w:ascii="楷体_GB2312" w:hAnsi="楷体" w:eastAsia="楷体_GB2312" w:cs="楷体"/>
          <w:sz w:val="32"/>
          <w:szCs w:val="32"/>
          <w:shd w:val="clear" w:color="auto" w:fill="FFFFFF"/>
        </w:rPr>
        <w:t>（三）物业上手，不推不脱。</w:t>
      </w:r>
      <w:r>
        <w:rPr>
          <w:rFonts w:hint="eastAsia" w:ascii="仿宋_GB2312" w:hAnsi="华文仿宋" w:eastAsia="仿宋_GB2312" w:cs="华文仿宋"/>
          <w:sz w:val="32"/>
          <w:szCs w:val="32"/>
          <w:shd w:val="clear" w:color="auto" w:fill="FFFFFF"/>
        </w:rPr>
        <w:t>物业公司要积极作为，一是对于小区乱停车的现象，要及时制止，只能疏不能堵，采取合理合法的手段去管理；二是可在小区主干道设置隔离设施，加强管理；三是可对业主乱停车的不文明行为书面提醒或通过宣传栏、电子屏等批评；四是如果有关人员乱停车妨碍了他人通行或小区秩序，对其他业主的利益造成了损害，物业公司可以制止，也可以要求其依据实际损失进行赔偿。</w:t>
      </w:r>
    </w:p>
    <w:p w14:paraId="2AFFF6D2">
      <w:pPr>
        <w:pStyle w:val="11"/>
        <w:shd w:val="clear" w:color="auto" w:fill="FFFFFF"/>
        <w:spacing w:beforeAutospacing="0" w:afterAutospacing="0" w:line="600" w:lineRule="exact"/>
        <w:ind w:firstLine="555"/>
        <w:jc w:val="both"/>
        <w:rPr>
          <w:rFonts w:ascii="仿宋_GB2312" w:hAnsi="华文仿宋" w:eastAsia="仿宋_GB2312" w:cs="华文仿宋"/>
          <w:sz w:val="32"/>
          <w:szCs w:val="32"/>
          <w:shd w:val="clear" w:color="auto" w:fill="FFFFFF"/>
        </w:rPr>
      </w:pPr>
      <w:r>
        <w:rPr>
          <w:rFonts w:hint="eastAsia" w:ascii="楷体_GB2312" w:hAnsi="楷体" w:eastAsia="楷体_GB2312" w:cs="楷体"/>
          <w:sz w:val="32"/>
          <w:szCs w:val="32"/>
          <w:shd w:val="clear" w:color="auto" w:fill="FFFFFF"/>
        </w:rPr>
        <w:t>（四）创新试点，共享停车。</w:t>
      </w:r>
      <w:r>
        <w:rPr>
          <w:rFonts w:hint="eastAsia" w:ascii="仿宋_GB2312" w:hAnsi="华文仿宋" w:eastAsia="仿宋_GB2312" w:cs="华文仿宋"/>
          <w:sz w:val="32"/>
          <w:szCs w:val="32"/>
          <w:shd w:val="clear" w:color="auto" w:fill="FFFFFF"/>
        </w:rPr>
        <w:t>探索开展共享停车试点，优化错时停车方案，合理配置停车资源。针对邻近机关企事业单位夜间停车位闲置的情况，可制定出台、引导实施具备条件的机关事业单位无偿或有偿对外开放停车场，联动相关单位通过智慧停车系统及时完成身份登记、出入记时、限时离场等管控措施，就近就便协助小区解决停车难问题。</w:t>
      </w:r>
    </w:p>
    <w:p w14:paraId="216B58AB">
      <w:pPr>
        <w:spacing w:line="600" w:lineRule="exact"/>
        <w:rPr>
          <w:rFonts w:ascii="华文仿宋" w:hAnsi="华文仿宋" w:eastAsia="华文仿宋" w:cs="华文仿宋"/>
          <w:sz w:val="32"/>
          <w:szCs w:val="32"/>
        </w:rPr>
      </w:pPr>
    </w:p>
    <w:p w14:paraId="0D0225D6">
      <w:pPr>
        <w:spacing w:line="560" w:lineRule="exact"/>
        <w:rPr>
          <w:rFonts w:ascii="楷体_GB2312" w:hAnsi="华文楷体" w:eastAsia="楷体_GB2312" w:cs="华文楷体"/>
          <w:sz w:val="32"/>
          <w:szCs w:val="32"/>
        </w:rPr>
      </w:pPr>
    </w:p>
    <w:p w14:paraId="5F7A66C9">
      <w:pPr>
        <w:spacing w:line="560" w:lineRule="exact"/>
        <w:rPr>
          <w:rFonts w:ascii="楷体_GB2312" w:hAnsi="华文楷体" w:eastAsia="楷体_GB2312" w:cs="华文楷体"/>
          <w:sz w:val="32"/>
          <w:szCs w:val="32"/>
        </w:rPr>
      </w:pPr>
    </w:p>
    <w:p w14:paraId="251E1F20">
      <w:pPr>
        <w:spacing w:line="560" w:lineRule="exact"/>
        <w:rPr>
          <w:rFonts w:ascii="楷体_GB2312" w:hAnsi="华文楷体" w:eastAsia="楷体_GB2312" w:cs="华文楷体"/>
          <w:sz w:val="32"/>
          <w:szCs w:val="32"/>
        </w:rPr>
      </w:pPr>
      <w:r>
        <w:rPr>
          <w:rFonts w:hint="eastAsia" w:ascii="楷体_GB2312" w:hAnsi="华文楷体" w:eastAsia="楷体_GB2312" w:cs="华文楷体"/>
          <w:sz w:val="32"/>
          <w:szCs w:val="32"/>
        </w:rPr>
        <w:t>提案编号：043</w:t>
      </w:r>
    </w:p>
    <w:p w14:paraId="79A2387B">
      <w:pPr>
        <w:spacing w:line="560" w:lineRule="exact"/>
        <w:rPr>
          <w:rFonts w:ascii="楷体_GB2312" w:hAnsi="华文楷体" w:eastAsia="楷体_GB2312" w:cs="华文楷体"/>
          <w:spacing w:val="13"/>
          <w:sz w:val="32"/>
          <w:szCs w:val="32"/>
        </w:rPr>
      </w:pPr>
      <w:r>
        <w:rPr>
          <w:rFonts w:hint="eastAsia" w:ascii="楷体_GB2312" w:hAnsi="华文楷体" w:eastAsia="楷体_GB2312" w:cs="华文楷体"/>
          <w:sz w:val="32"/>
          <w:szCs w:val="32"/>
        </w:rPr>
        <w:t>提案名称：</w:t>
      </w:r>
      <w:r>
        <w:rPr>
          <w:rFonts w:hint="eastAsia" w:ascii="楷体_GB2312" w:hAnsi="华文楷体" w:eastAsia="楷体_GB2312" w:cs="华文楷体"/>
          <w:spacing w:val="13"/>
          <w:sz w:val="32"/>
          <w:szCs w:val="32"/>
        </w:rPr>
        <w:t>关于加快喀喇沁旗充电桩建设的提案</w:t>
      </w:r>
    </w:p>
    <w:p w14:paraId="74225020">
      <w:pPr>
        <w:spacing w:line="560" w:lineRule="exact"/>
        <w:rPr>
          <w:rFonts w:ascii="楷体_GB2312" w:hAnsi="华文楷体" w:eastAsia="楷体_GB2312" w:cs="华文楷体"/>
          <w:sz w:val="32"/>
          <w:szCs w:val="32"/>
        </w:rPr>
      </w:pPr>
      <w:r>
        <w:rPr>
          <w:rFonts w:hint="eastAsia" w:ascii="楷体_GB2312" w:hAnsi="华文楷体" w:eastAsia="楷体_GB2312" w:cs="华文楷体"/>
          <w:sz w:val="32"/>
          <w:szCs w:val="32"/>
        </w:rPr>
        <w:t>提 案 人：杨利</w:t>
      </w:r>
    </w:p>
    <w:p w14:paraId="4E562640">
      <w:pPr>
        <w:spacing w:line="560" w:lineRule="exact"/>
        <w:rPr>
          <w:rFonts w:ascii="楷体_GB2312" w:hAnsi="华文楷体" w:eastAsia="楷体_GB2312" w:cs="华文楷体"/>
          <w:sz w:val="32"/>
          <w:szCs w:val="32"/>
        </w:rPr>
      </w:pPr>
      <w:r>
        <w:rPr>
          <w:rFonts w:hint="eastAsia" w:ascii="楷体_GB2312" w:hAnsi="华文楷体" w:eastAsia="楷体_GB2312" w:cs="华文楷体"/>
          <w:sz w:val="32"/>
          <w:szCs w:val="32"/>
        </w:rPr>
        <w:t>联系方式：13904761798</w:t>
      </w:r>
    </w:p>
    <w:p w14:paraId="14D21BF8">
      <w:pPr>
        <w:spacing w:line="560" w:lineRule="exact"/>
        <w:rPr>
          <w:rFonts w:ascii="楷体_GB2312" w:hAnsi="华文楷体" w:eastAsia="楷体_GB2312" w:cs="华文楷体"/>
          <w:sz w:val="32"/>
          <w:szCs w:val="32"/>
        </w:rPr>
      </w:pPr>
      <w:r>
        <w:rPr>
          <w:rFonts w:hint="eastAsia" w:ascii="楷体_GB2312" w:hAnsi="华文楷体" w:eastAsia="楷体_GB2312" w:cs="华文楷体"/>
          <w:sz w:val="32"/>
          <w:szCs w:val="32"/>
        </w:rPr>
        <w:t>界    别：工商业联合会</w:t>
      </w:r>
    </w:p>
    <w:p w14:paraId="2D431AFA">
      <w:pPr>
        <w:spacing w:before="182" w:line="330" w:lineRule="auto"/>
        <w:jc w:val="center"/>
        <w:rPr>
          <w:rFonts w:ascii="方正小标宋简体" w:hAnsi="方正公文小标宋" w:eastAsia="方正小标宋简体" w:cs="方正公文小标宋"/>
          <w:spacing w:val="13"/>
          <w:sz w:val="44"/>
          <w:szCs w:val="44"/>
        </w:rPr>
      </w:pPr>
      <w:r>
        <w:rPr>
          <w:rFonts w:hint="eastAsia" w:ascii="方正小标宋简体" w:hAnsi="方正公文小标宋" w:eastAsia="方正小标宋简体" w:cs="方正公文小标宋"/>
          <w:spacing w:val="13"/>
          <w:sz w:val="44"/>
          <w:szCs w:val="44"/>
        </w:rPr>
        <w:t>关于加快喀喇沁旗充电桩建设的提案</w:t>
      </w:r>
    </w:p>
    <w:p w14:paraId="63275D9E">
      <w:pPr>
        <w:spacing w:line="56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随着新能源汽车产业的蓬勃发展，电动汽车的保有量在我旗不断攀升，然而充电桩建设却相对滞后，难以满足居民日益增长的充电需求，这在一定程度上制约了新能源汽车的推广使用，也与国家 “双碳” 战略目标的推进不相适应</w:t>
      </w:r>
      <w:r>
        <w:rPr>
          <w:rFonts w:hint="eastAsia" w:ascii="仿宋_GB2312" w:hAnsi="方正仿宋_GBK" w:eastAsia="仿宋_GB2312" w:cs="方正仿宋_GBK"/>
          <w:spacing w:val="11"/>
          <w:sz w:val="32"/>
          <w:szCs w:val="32"/>
        </w:rPr>
        <w:t>。</w:t>
      </w:r>
      <w:r>
        <w:rPr>
          <w:rFonts w:hint="eastAsia" w:ascii="仿宋_GB2312" w:hAnsi="方正仿宋_GBK" w:eastAsia="仿宋_GB2312" w:cs="方正仿宋_GBK"/>
          <w:sz w:val="32"/>
          <w:szCs w:val="32"/>
        </w:rPr>
        <w:t>加快充电桩建设，优化充电设施布局，已成为当务之急。</w:t>
      </w:r>
    </w:p>
    <w:p w14:paraId="6C2F7EA1">
      <w:pPr>
        <w:spacing w:before="43" w:line="227" w:lineRule="auto"/>
        <w:ind w:left="644"/>
        <w:outlineLvl w:val="0"/>
        <w:rPr>
          <w:rFonts w:ascii="黑体" w:hAnsi="黑体" w:eastAsia="黑体" w:cs="黑体"/>
          <w:bCs/>
          <w:spacing w:val="8"/>
          <w:sz w:val="32"/>
          <w:szCs w:val="32"/>
        </w:rPr>
      </w:pPr>
      <w:r>
        <w:rPr>
          <w:rFonts w:hint="eastAsia" w:ascii="黑体" w:hAnsi="黑体" w:eastAsia="黑体" w:cs="黑体"/>
          <w:bCs/>
          <w:spacing w:val="8"/>
          <w:sz w:val="32"/>
          <w:szCs w:val="32"/>
        </w:rPr>
        <w:t>一、存在的问题及加快充电桩建设的必要性</w:t>
      </w:r>
    </w:p>
    <w:p w14:paraId="15495B2C">
      <w:pPr>
        <w:spacing w:line="56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（一）目前，喀喇沁旗的公共充电桩数量极为有限。</w:t>
      </w:r>
      <w:r>
        <w:rPr>
          <w:rFonts w:hint="eastAsia" w:ascii="仿宋_GB2312" w:hAnsi="方正仿宋_GBK" w:eastAsia="仿宋_GB2312" w:cs="方正仿宋_GBK"/>
          <w:sz w:val="32"/>
          <w:szCs w:val="32"/>
        </w:rPr>
        <w:t>而新能源汽车保有量近年却在快速增长，建设充电桩会进一步推动新能源汽车普及，消除消费者 “里程焦虑” ，而且助力节能减排和环境保护。</w:t>
      </w:r>
    </w:p>
    <w:p w14:paraId="71F8144E">
      <w:pPr>
        <w:spacing w:line="56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（二）促进旅游业发展。</w:t>
      </w:r>
      <w:r>
        <w:rPr>
          <w:rFonts w:hint="eastAsia" w:ascii="仿宋_GB2312" w:hAnsi="方正仿宋_GBK" w:eastAsia="仿宋_GB2312" w:cs="方正仿宋_GBK"/>
          <w:sz w:val="32"/>
          <w:szCs w:val="32"/>
        </w:rPr>
        <w:t>喀喇沁旗拥有丰富的旅游资源，锦山镇作为重要的游客集散地，完善的充电桩网络能够吸引更多自驾新能源汽车的游客前来，为当地旅游业注入新的活力，带动相关产业发展，提升经济收益。</w:t>
      </w:r>
    </w:p>
    <w:p w14:paraId="6CA7999D">
      <w:pPr>
        <w:spacing w:line="56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（三）提升城镇基础设施水平。</w:t>
      </w:r>
      <w:r>
        <w:rPr>
          <w:rFonts w:hint="eastAsia" w:ascii="仿宋_GB2312" w:hAnsi="方正仿宋_GBK" w:eastAsia="仿宋_GB2312" w:cs="方正仿宋_GBK"/>
          <w:sz w:val="32"/>
          <w:szCs w:val="32"/>
        </w:rPr>
        <w:t>充电桩建设是城镇现代化基础设施建设的重要组成部分，完善的充电设施能够提升喀喇沁旗的整体形象和吸引力，为招商引资、人才引进等创造有利条件，增强城镇的综合竞争力。</w:t>
      </w:r>
    </w:p>
    <w:p w14:paraId="1AE139CD">
      <w:pPr>
        <w:spacing w:before="43" w:line="227" w:lineRule="auto"/>
        <w:ind w:left="644"/>
        <w:outlineLvl w:val="0"/>
        <w:rPr>
          <w:rFonts w:ascii="黑体" w:hAnsi="黑体" w:eastAsia="黑体" w:cs="黑体"/>
          <w:bCs/>
          <w:spacing w:val="8"/>
          <w:sz w:val="32"/>
          <w:szCs w:val="32"/>
        </w:rPr>
      </w:pPr>
      <w:r>
        <w:rPr>
          <w:rFonts w:hint="eastAsia" w:ascii="黑体" w:hAnsi="黑体" w:eastAsia="黑体" w:cs="黑体"/>
          <w:bCs/>
          <w:spacing w:val="8"/>
          <w:sz w:val="32"/>
          <w:szCs w:val="32"/>
        </w:rPr>
        <w:t>二、建议</w:t>
      </w:r>
    </w:p>
    <w:p w14:paraId="7D1C9A4F">
      <w:pPr>
        <w:spacing w:line="56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（一）科学规划布局。</w:t>
      </w:r>
      <w:r>
        <w:rPr>
          <w:rFonts w:hint="eastAsia" w:ascii="仿宋_GB2312" w:hAnsi="方正仿宋_GBK" w:eastAsia="仿宋_GB2312" w:cs="方正仿宋_GBK"/>
          <w:sz w:val="32"/>
          <w:szCs w:val="32"/>
        </w:rPr>
        <w:t>由政府相关部门牵头，联合专业机构对喀喇沁旗进行全面调研，根据居民区、商业区、办公区、旅游景区以及交通枢纽等区域的车辆分布和使用频率，制定科学合理的充电桩建设总体规划，确保充电桩分布均衡、疏密得当，形成覆盖全镇的充电服务网络。</w:t>
      </w:r>
    </w:p>
    <w:p w14:paraId="6ABF46D0">
      <w:pPr>
        <w:spacing w:line="56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（二）加大政策支持。</w:t>
      </w:r>
      <w:r>
        <w:rPr>
          <w:rFonts w:hint="eastAsia" w:ascii="仿宋_GB2312" w:hAnsi="方正仿宋_GBK" w:eastAsia="仿宋_GB2312" w:cs="方正仿宋_GBK"/>
          <w:sz w:val="32"/>
          <w:szCs w:val="32"/>
        </w:rPr>
        <w:t>出台针对充电桩建设的专项扶持政策，包括财政补贴、税收优惠、土地使用优先等。例如，对建设充电桩的企业或个人给予一定比例的建设资金补贴，减免相关税费，在符合规划的前提下优先保障充电桩建设用地，降低建设运营成本，提高社会资本参与建设的积极性。</w:t>
      </w:r>
    </w:p>
    <w:p w14:paraId="0C5595BA">
      <w:pPr>
        <w:spacing w:line="56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（三）鼓励多方参与。</w:t>
      </w:r>
      <w:r>
        <w:rPr>
          <w:rFonts w:hint="eastAsia" w:ascii="仿宋_GB2312" w:hAnsi="方正仿宋_GBK" w:eastAsia="仿宋_GB2312" w:cs="方正仿宋_GBK"/>
          <w:sz w:val="32"/>
          <w:szCs w:val="32"/>
        </w:rPr>
        <w:t>一方面吸引国家电网、国家能源集团等大型能源企业加大在喀喇沁旗的充电桩投资建设力度；另一方面鼓励本地企业、物业公司、个人等多元主体参与充电桩建设运营，采用公私合营（PPP）、特许经营、设备租赁等多种模式，形成多元化的建设运营格局，加快建设进度，提高充电桩的覆盖率和服务质量。</w:t>
      </w:r>
    </w:p>
    <w:p w14:paraId="2E81A897">
      <w:pPr>
        <w:spacing w:line="56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（四）强化后期运维。</w:t>
      </w:r>
      <w:r>
        <w:rPr>
          <w:rFonts w:hint="eastAsia" w:ascii="仿宋_GB2312" w:hAnsi="方正仿宋_GBK" w:eastAsia="仿宋_GB2312" w:cs="方正仿宋_GBK"/>
          <w:sz w:val="32"/>
          <w:szCs w:val="32"/>
        </w:rPr>
        <w:t>建立健全充电桩的后期运维管理机制，要求建设运营企业配备专业的运维团队，定期对充电桩进行巡检、维护和保养，及时处理故障，确保充电桩的正常运行。同时，搭建统一的充电桩运营管理平台，实现对全镇充电桩的实时监控、状态查询、在线预约、故障报修等功能，为用户提供便捷、高效的充电服务体验，提升用户满意度。</w:t>
      </w:r>
    </w:p>
    <w:p w14:paraId="61096C72">
      <w:pPr>
        <w:spacing w:line="56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加快喀喇沁旗充电桩建设，是顺应新能源汽车发展趋势、满足群众出行需求、推动地方经济社会可持续发展的迫切需要。通过科学规划、政策支持、多方参与和有效运维，逐步构建起布局合理、使用便捷、服务优质的充电桩体系，为新能源汽车在喀喇沁旗的广泛应用创造良好条件，助力本地经济社会绿色发展转型。</w:t>
      </w:r>
    </w:p>
    <w:p w14:paraId="6E12C823">
      <w:pPr>
        <w:rPr>
          <w:rFonts w:ascii="楷体_GB2312" w:hAnsi="楷体_GB2312" w:eastAsia="楷体_GB2312" w:cs="楷体_GB2312"/>
          <w:sz w:val="32"/>
          <w:szCs w:val="32"/>
        </w:rPr>
      </w:pPr>
    </w:p>
    <w:p w14:paraId="73F3285D">
      <w:pPr>
        <w:rPr>
          <w:rFonts w:ascii="楷体_GB2312" w:hAnsi="楷体_GB2312" w:eastAsia="楷体_GB2312" w:cs="楷体_GB2312"/>
          <w:sz w:val="32"/>
          <w:szCs w:val="32"/>
        </w:rPr>
      </w:pPr>
    </w:p>
    <w:p w14:paraId="65C27510">
      <w:pPr>
        <w:rPr>
          <w:rFonts w:ascii="楷体_GB2312" w:hAnsi="楷体_GB2312" w:eastAsia="楷体_GB2312" w:cs="楷体_GB2312"/>
          <w:sz w:val="32"/>
          <w:szCs w:val="32"/>
        </w:rPr>
      </w:pPr>
    </w:p>
    <w:p w14:paraId="56886A11">
      <w:pPr>
        <w:rPr>
          <w:rFonts w:ascii="楷体_GB2312" w:hAnsi="楷体_GB2312" w:eastAsia="楷体_GB2312" w:cs="楷体_GB2312"/>
          <w:sz w:val="32"/>
          <w:szCs w:val="32"/>
        </w:rPr>
      </w:pPr>
    </w:p>
    <w:p w14:paraId="034AEADC">
      <w:pPr>
        <w:rPr>
          <w:rFonts w:ascii="楷体_GB2312" w:hAnsi="楷体_GB2312" w:eastAsia="楷体_GB2312" w:cs="楷体_GB2312"/>
          <w:sz w:val="32"/>
          <w:szCs w:val="32"/>
        </w:rPr>
      </w:pPr>
    </w:p>
    <w:p w14:paraId="04223CA1">
      <w:pPr>
        <w:rPr>
          <w:rFonts w:ascii="楷体_GB2312" w:hAnsi="楷体_GB2312" w:eastAsia="楷体_GB2312" w:cs="楷体_GB2312"/>
          <w:sz w:val="32"/>
          <w:szCs w:val="32"/>
        </w:rPr>
      </w:pPr>
    </w:p>
    <w:p w14:paraId="718BA679">
      <w:pPr>
        <w:rPr>
          <w:rFonts w:ascii="楷体_GB2312" w:hAnsi="楷体_GB2312" w:eastAsia="楷体_GB2312" w:cs="楷体_GB2312"/>
          <w:sz w:val="32"/>
          <w:szCs w:val="32"/>
        </w:rPr>
      </w:pPr>
    </w:p>
    <w:p w14:paraId="03462FD8">
      <w:pPr>
        <w:rPr>
          <w:rFonts w:ascii="楷体_GB2312" w:hAnsi="楷体_GB2312" w:eastAsia="楷体_GB2312" w:cs="楷体_GB2312"/>
          <w:sz w:val="32"/>
          <w:szCs w:val="32"/>
        </w:rPr>
      </w:pPr>
    </w:p>
    <w:p w14:paraId="7C820A68">
      <w:pPr>
        <w:rPr>
          <w:rFonts w:ascii="楷体_GB2312" w:hAnsi="楷体_GB2312" w:eastAsia="楷体_GB2312" w:cs="楷体_GB2312"/>
          <w:sz w:val="32"/>
          <w:szCs w:val="32"/>
        </w:rPr>
      </w:pPr>
    </w:p>
    <w:p w14:paraId="021BD8D9">
      <w:pPr>
        <w:rPr>
          <w:rFonts w:ascii="楷体_GB2312" w:hAnsi="楷体_GB2312" w:eastAsia="楷体_GB2312" w:cs="楷体_GB2312"/>
          <w:sz w:val="32"/>
          <w:szCs w:val="32"/>
        </w:rPr>
      </w:pPr>
    </w:p>
    <w:p w14:paraId="7570E896">
      <w:pPr>
        <w:rPr>
          <w:rFonts w:ascii="楷体_GB2312" w:hAnsi="楷体_GB2312" w:eastAsia="楷体_GB2312" w:cs="楷体_GB2312"/>
          <w:sz w:val="32"/>
          <w:szCs w:val="32"/>
        </w:rPr>
      </w:pPr>
    </w:p>
    <w:p w14:paraId="5B72FD11">
      <w:pPr>
        <w:rPr>
          <w:rFonts w:ascii="楷体_GB2312" w:hAnsi="楷体_GB2312" w:eastAsia="楷体_GB2312" w:cs="楷体_GB2312"/>
          <w:sz w:val="32"/>
          <w:szCs w:val="32"/>
        </w:rPr>
      </w:pPr>
    </w:p>
    <w:p w14:paraId="20183CB9">
      <w:pPr>
        <w:rPr>
          <w:rFonts w:ascii="楷体_GB2312" w:hAnsi="楷体_GB2312" w:eastAsia="楷体_GB2312" w:cs="楷体_GB2312"/>
          <w:sz w:val="32"/>
          <w:szCs w:val="32"/>
        </w:rPr>
      </w:pPr>
    </w:p>
    <w:p w14:paraId="2AE4025F">
      <w:pPr>
        <w:rPr>
          <w:rFonts w:ascii="楷体_GB2312" w:hAnsi="楷体_GB2312" w:eastAsia="楷体_GB2312" w:cs="楷体_GB2312"/>
          <w:sz w:val="32"/>
          <w:szCs w:val="32"/>
        </w:rPr>
      </w:pPr>
    </w:p>
    <w:p w14:paraId="000DB3E9">
      <w:pPr>
        <w:rPr>
          <w:rFonts w:ascii="楷体_GB2312" w:hAnsi="楷体_GB2312" w:eastAsia="楷体_GB2312" w:cs="楷体_GB2312"/>
          <w:sz w:val="32"/>
          <w:szCs w:val="32"/>
        </w:rPr>
      </w:pPr>
    </w:p>
    <w:p w14:paraId="29A977F8">
      <w:pPr>
        <w:rPr>
          <w:rFonts w:ascii="楷体_GB2312" w:hAnsi="楷体_GB2312" w:eastAsia="楷体_GB2312" w:cs="楷体_GB2312"/>
          <w:sz w:val="32"/>
          <w:szCs w:val="32"/>
        </w:rPr>
      </w:pPr>
    </w:p>
    <w:p w14:paraId="434C8045">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提案编号:044</w:t>
      </w:r>
    </w:p>
    <w:p w14:paraId="634C108D">
      <w:pPr>
        <w:rPr>
          <w:rFonts w:ascii="楷体_GB2312" w:eastAsia="楷体_GB2312"/>
          <w:sz w:val="32"/>
          <w:szCs w:val="32"/>
        </w:rPr>
      </w:pPr>
      <w:r>
        <w:rPr>
          <w:rFonts w:hint="eastAsia" w:ascii="楷体_GB2312" w:hAnsi="楷体_GB2312" w:eastAsia="楷体_GB2312" w:cs="楷体_GB2312"/>
          <w:sz w:val="32"/>
          <w:szCs w:val="32"/>
        </w:rPr>
        <w:t>提案名称:</w:t>
      </w:r>
      <w:r>
        <w:rPr>
          <w:rFonts w:hint="eastAsia" w:ascii="楷体_GB2312" w:hAnsi="方正小标宋简体" w:eastAsia="楷体_GB2312" w:cs="方正小标宋简体"/>
          <w:sz w:val="32"/>
          <w:szCs w:val="32"/>
        </w:rPr>
        <w:t xml:space="preserve"> </w:t>
      </w:r>
      <w:r>
        <w:rPr>
          <w:rFonts w:hint="eastAsia" w:ascii="楷体_GB2312" w:eastAsia="楷体_GB2312"/>
          <w:sz w:val="32"/>
          <w:szCs w:val="32"/>
        </w:rPr>
        <w:t>关于加强城镇规范养狗的提案</w:t>
      </w:r>
    </w:p>
    <w:p w14:paraId="41AD9CD6">
      <w:pPr>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人:白国庆</w:t>
      </w:r>
    </w:p>
    <w:p w14:paraId="17933358">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w:t>
      </w:r>
      <w:r>
        <w:rPr>
          <w:rFonts w:ascii="楷体_GB2312" w:hAnsi="楷体_GB2312" w:eastAsia="楷体_GB2312" w:cs="楷体_GB2312"/>
          <w:sz w:val="32"/>
          <w:szCs w:val="32"/>
        </w:rPr>
        <w:t>13804768448</w:t>
      </w:r>
    </w:p>
    <w:p w14:paraId="3B752A55">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别:少数民族和宗教</w:t>
      </w:r>
    </w:p>
    <w:p w14:paraId="0E41601A">
      <w:pPr>
        <w:jc w:val="center"/>
        <w:rPr>
          <w:rFonts w:ascii="方正小标宋简体" w:eastAsia="方正小标宋简体"/>
          <w:sz w:val="44"/>
          <w:szCs w:val="44"/>
        </w:rPr>
      </w:pPr>
      <w:r>
        <w:rPr>
          <w:rFonts w:hint="eastAsia" w:ascii="方正小标宋简体" w:eastAsia="方正小标宋简体"/>
          <w:sz w:val="44"/>
          <w:szCs w:val="44"/>
        </w:rPr>
        <w:t>关于加强城镇规范养狗的提案</w:t>
      </w:r>
    </w:p>
    <w:p w14:paraId="6C6FFC05">
      <w:pPr>
        <w:rPr>
          <w:rFonts w:ascii="仿宋_GB2312" w:eastAsia="仿宋_GB2312"/>
          <w:sz w:val="32"/>
          <w:szCs w:val="32"/>
        </w:rPr>
      </w:pPr>
      <w:r>
        <w:rPr>
          <w:rFonts w:hint="eastAsia"/>
        </w:rPr>
        <w:t xml:space="preserve">    </w:t>
      </w:r>
      <w:r>
        <w:rPr>
          <w:rFonts w:hint="eastAsia" w:ascii="仿宋_GB2312" w:eastAsia="仿宋_GB2312"/>
          <w:sz w:val="32"/>
          <w:szCs w:val="32"/>
        </w:rPr>
        <w:t xml:space="preserve">    </w:t>
      </w:r>
    </w:p>
    <w:p w14:paraId="08A61A1F">
      <w:pPr>
        <w:ind w:firstLine="640" w:firstLineChars="200"/>
        <w:rPr>
          <w:rFonts w:ascii="仿宋_GB2312" w:eastAsia="仿宋_GB2312"/>
          <w:sz w:val="32"/>
          <w:szCs w:val="32"/>
        </w:rPr>
      </w:pPr>
      <w:r>
        <w:rPr>
          <w:rFonts w:hint="eastAsia" w:ascii="仿宋_GB2312" w:eastAsia="仿宋_GB2312"/>
          <w:sz w:val="32"/>
          <w:szCs w:val="32"/>
        </w:rPr>
        <w:t>城镇内养宠物的日益增多，其中养狗的占大多数。虽然各地都有出台养狗的规定，规范了养狗人的行为规范，例如要给狗做防疫，遛狗要拉绳，狗的大便要清理。但在执法过程中仍然有不尽人如意的地方。例如狗在电线杆，车轮，门柱等地方撒尿。在马路上的狗大便没有清理。</w:t>
      </w:r>
    </w:p>
    <w:p w14:paraId="0F92177D">
      <w:pPr>
        <w:rPr>
          <w:rFonts w:ascii="黑体" w:hAnsi="黑体" w:eastAsia="黑体"/>
          <w:sz w:val="32"/>
          <w:szCs w:val="32"/>
        </w:rPr>
      </w:pPr>
      <w:r>
        <w:rPr>
          <w:rFonts w:hint="eastAsia" w:ascii="黑体" w:hAnsi="黑体" w:eastAsia="黑体"/>
          <w:sz w:val="32"/>
          <w:szCs w:val="32"/>
        </w:rPr>
        <w:t>一、建议</w:t>
      </w:r>
    </w:p>
    <w:p w14:paraId="57C61E7B">
      <w:pPr>
        <w:ind w:firstLine="640" w:firstLineChars="200"/>
        <w:rPr>
          <w:rFonts w:ascii="仿宋_GB2312" w:eastAsia="仿宋_GB2312"/>
          <w:sz w:val="32"/>
          <w:szCs w:val="32"/>
        </w:rPr>
      </w:pPr>
      <w:r>
        <w:rPr>
          <w:rFonts w:hint="eastAsia" w:ascii="仿宋_GB2312" w:eastAsia="仿宋_GB2312"/>
          <w:sz w:val="32"/>
          <w:szCs w:val="32"/>
        </w:rPr>
        <w:t>一、从检查遛狗是否拉绳，检查狗主人是否带手纸有清理马路上狗大便的意识，发现三次狗主人不拉绳遛狗就取消他的养狗资格。</w:t>
      </w:r>
    </w:p>
    <w:p w14:paraId="2AE3DAF5">
      <w:pPr>
        <w:ind w:firstLine="640" w:firstLineChars="200"/>
        <w:rPr>
          <w:rFonts w:ascii="仿宋_GB2312" w:eastAsia="仿宋_GB2312"/>
          <w:sz w:val="32"/>
          <w:szCs w:val="32"/>
        </w:rPr>
      </w:pPr>
      <w:r>
        <w:rPr>
          <w:rFonts w:hint="eastAsia" w:ascii="仿宋_GB2312" w:eastAsia="仿宋_GB2312"/>
          <w:sz w:val="32"/>
          <w:szCs w:val="32"/>
        </w:rPr>
        <w:t>二、每季度清理一遍无证，无主人拉绳的无主野狗。倒逼狗主人拉绳遛狗。</w:t>
      </w:r>
    </w:p>
    <w:p w14:paraId="12924FC8">
      <w:pPr>
        <w:ind w:firstLine="640" w:firstLineChars="200"/>
        <w:rPr>
          <w:rFonts w:ascii="仿宋_GB2312" w:eastAsia="仿宋_GB2312"/>
          <w:sz w:val="32"/>
          <w:szCs w:val="32"/>
        </w:rPr>
      </w:pPr>
      <w:r>
        <w:rPr>
          <w:rFonts w:hint="eastAsia" w:ascii="仿宋_GB2312" w:eastAsia="仿宋_GB2312"/>
          <w:sz w:val="32"/>
          <w:szCs w:val="32"/>
        </w:rPr>
        <w:t>三、发动群众，发现狗主人不拉绳遛狗的，拉在马路上狗大便没有及时清理的，都可以出言制止。</w:t>
      </w:r>
    </w:p>
    <w:p w14:paraId="750326A0">
      <w:pPr>
        <w:ind w:firstLine="640" w:firstLineChars="200"/>
        <w:rPr>
          <w:rFonts w:ascii="仿宋_GB2312" w:eastAsia="仿宋_GB2312"/>
          <w:sz w:val="32"/>
          <w:szCs w:val="32"/>
        </w:rPr>
      </w:pPr>
      <w:r>
        <w:rPr>
          <w:rFonts w:hint="eastAsia" w:ascii="仿宋_GB2312" w:eastAsia="仿宋_GB2312"/>
          <w:sz w:val="32"/>
          <w:szCs w:val="32"/>
        </w:rPr>
        <w:t>四、狗小便到车轮或人家门柱等地方时，受害人可以要求狗主人清理，并重金赔偿。</w:t>
      </w:r>
    </w:p>
    <w:p w14:paraId="55D2A27C">
      <w:pPr>
        <w:rPr>
          <w:rFonts w:ascii="仿宋_GB2312" w:eastAsia="仿宋_GB2312"/>
          <w:sz w:val="32"/>
          <w:szCs w:val="32"/>
        </w:rPr>
      </w:pPr>
      <w:r>
        <w:rPr>
          <w:rFonts w:hint="eastAsia" w:ascii="仿宋_GB2312" w:eastAsia="仿宋_GB2312"/>
          <w:sz w:val="32"/>
          <w:szCs w:val="32"/>
        </w:rPr>
        <w:t xml:space="preserve">    总之，要严格养狗的规定，提高养狗人的社会责任，提高养狗人违规的惩罚力度。使全社会形成一种“养狗自由，自由有度”的良好舆论环境。让我们喀喇沁旗的文明城市越来越美！</w:t>
      </w:r>
    </w:p>
    <w:p w14:paraId="3C5DC242">
      <w:pPr>
        <w:rPr>
          <w:rFonts w:ascii="楷体_GB2312" w:hAnsi="宋体" w:eastAsia="楷体_GB2312"/>
          <w:sz w:val="32"/>
          <w:szCs w:val="32"/>
        </w:rPr>
      </w:pPr>
    </w:p>
    <w:p w14:paraId="06517B1D">
      <w:pPr>
        <w:rPr>
          <w:rFonts w:ascii="楷体_GB2312" w:hAnsi="宋体" w:eastAsia="楷体_GB2312"/>
          <w:sz w:val="32"/>
          <w:szCs w:val="32"/>
        </w:rPr>
      </w:pPr>
    </w:p>
    <w:p w14:paraId="10EAC2A4">
      <w:pPr>
        <w:rPr>
          <w:rFonts w:ascii="楷体_GB2312" w:hAnsi="宋体" w:eastAsia="楷体_GB2312"/>
          <w:sz w:val="32"/>
          <w:szCs w:val="32"/>
        </w:rPr>
      </w:pPr>
    </w:p>
    <w:p w14:paraId="02017853">
      <w:pPr>
        <w:rPr>
          <w:rFonts w:ascii="楷体_GB2312" w:hAnsi="宋体" w:eastAsia="楷体_GB2312"/>
          <w:sz w:val="32"/>
          <w:szCs w:val="32"/>
        </w:rPr>
      </w:pPr>
    </w:p>
    <w:p w14:paraId="41D382D8">
      <w:pPr>
        <w:rPr>
          <w:rFonts w:ascii="楷体_GB2312" w:hAnsi="宋体" w:eastAsia="楷体_GB2312"/>
          <w:sz w:val="32"/>
          <w:szCs w:val="32"/>
        </w:rPr>
      </w:pPr>
    </w:p>
    <w:p w14:paraId="1FBEF2D7">
      <w:pPr>
        <w:rPr>
          <w:rFonts w:ascii="楷体_GB2312" w:hAnsi="宋体" w:eastAsia="楷体_GB2312"/>
          <w:sz w:val="32"/>
          <w:szCs w:val="32"/>
        </w:rPr>
      </w:pPr>
    </w:p>
    <w:p w14:paraId="741594BC">
      <w:pPr>
        <w:rPr>
          <w:rFonts w:ascii="楷体_GB2312" w:hAnsi="宋体" w:eastAsia="楷体_GB2312"/>
          <w:sz w:val="32"/>
          <w:szCs w:val="32"/>
        </w:rPr>
      </w:pPr>
    </w:p>
    <w:p w14:paraId="3236D568">
      <w:pPr>
        <w:rPr>
          <w:rFonts w:ascii="楷体_GB2312" w:hAnsi="宋体" w:eastAsia="楷体_GB2312"/>
          <w:sz w:val="32"/>
          <w:szCs w:val="32"/>
        </w:rPr>
      </w:pPr>
    </w:p>
    <w:p w14:paraId="735EA92F">
      <w:pPr>
        <w:rPr>
          <w:rFonts w:ascii="楷体_GB2312" w:hAnsi="宋体" w:eastAsia="楷体_GB2312"/>
          <w:sz w:val="32"/>
          <w:szCs w:val="32"/>
        </w:rPr>
      </w:pPr>
    </w:p>
    <w:p w14:paraId="28FD5B08">
      <w:pPr>
        <w:rPr>
          <w:rFonts w:ascii="楷体_GB2312" w:hAnsi="宋体" w:eastAsia="楷体_GB2312"/>
          <w:sz w:val="32"/>
          <w:szCs w:val="32"/>
        </w:rPr>
      </w:pPr>
    </w:p>
    <w:p w14:paraId="3F07FF3F">
      <w:pPr>
        <w:rPr>
          <w:rFonts w:ascii="楷体_GB2312" w:hAnsi="宋体" w:eastAsia="楷体_GB2312"/>
          <w:sz w:val="32"/>
          <w:szCs w:val="32"/>
        </w:rPr>
      </w:pPr>
    </w:p>
    <w:p w14:paraId="1A781006">
      <w:pPr>
        <w:rPr>
          <w:rFonts w:ascii="楷体_GB2312" w:hAnsi="宋体" w:eastAsia="楷体_GB2312"/>
          <w:sz w:val="32"/>
          <w:szCs w:val="32"/>
        </w:rPr>
      </w:pPr>
    </w:p>
    <w:p w14:paraId="10E64F39">
      <w:pPr>
        <w:rPr>
          <w:rFonts w:ascii="楷体_GB2312" w:hAnsi="宋体" w:eastAsia="楷体_GB2312"/>
          <w:sz w:val="32"/>
          <w:szCs w:val="32"/>
        </w:rPr>
      </w:pPr>
    </w:p>
    <w:p w14:paraId="47B9E320">
      <w:pPr>
        <w:rPr>
          <w:rFonts w:ascii="楷体_GB2312" w:hAnsi="宋体" w:eastAsia="楷体_GB2312"/>
          <w:sz w:val="32"/>
          <w:szCs w:val="32"/>
        </w:rPr>
      </w:pPr>
    </w:p>
    <w:p w14:paraId="492BCAEB">
      <w:pPr>
        <w:rPr>
          <w:rFonts w:ascii="楷体_GB2312" w:hAnsi="宋体" w:eastAsia="楷体_GB2312"/>
          <w:sz w:val="32"/>
          <w:szCs w:val="32"/>
        </w:rPr>
      </w:pPr>
    </w:p>
    <w:p w14:paraId="20DE2B07">
      <w:pPr>
        <w:rPr>
          <w:rFonts w:ascii="楷体_GB2312" w:hAnsi="宋体" w:eastAsia="楷体_GB2312"/>
          <w:sz w:val="32"/>
          <w:szCs w:val="32"/>
        </w:rPr>
      </w:pPr>
    </w:p>
    <w:p w14:paraId="623F6E42">
      <w:pPr>
        <w:rPr>
          <w:rFonts w:ascii="楷体_GB2312" w:hAnsi="宋体" w:eastAsia="楷体_GB2312"/>
          <w:sz w:val="32"/>
          <w:szCs w:val="32"/>
        </w:rPr>
      </w:pPr>
    </w:p>
    <w:p w14:paraId="68B7382C">
      <w:pPr>
        <w:rPr>
          <w:rFonts w:ascii="楷体_GB2312" w:hAnsi="宋体" w:eastAsia="楷体_GB2312"/>
          <w:sz w:val="32"/>
          <w:szCs w:val="32"/>
        </w:rPr>
      </w:pPr>
    </w:p>
    <w:p w14:paraId="19F872A9">
      <w:pPr>
        <w:rPr>
          <w:rFonts w:ascii="楷体_GB2312" w:hAnsi="宋体" w:eastAsia="楷体_GB2312"/>
          <w:sz w:val="32"/>
          <w:szCs w:val="32"/>
        </w:rPr>
      </w:pPr>
      <w:r>
        <w:rPr>
          <w:rFonts w:hint="eastAsia" w:ascii="楷体_GB2312" w:hAnsi="宋体" w:eastAsia="楷体_GB2312"/>
          <w:sz w:val="32"/>
          <w:szCs w:val="32"/>
        </w:rPr>
        <w:t>提案编号：045</w:t>
      </w:r>
    </w:p>
    <w:p w14:paraId="0928036D">
      <w:pPr>
        <w:ind w:left="1600" w:hanging="1600" w:hangingChars="500"/>
        <w:rPr>
          <w:rFonts w:ascii="楷体_GB2312" w:hAnsi="宋体" w:eastAsia="楷体_GB2312"/>
          <w:sz w:val="32"/>
          <w:szCs w:val="32"/>
        </w:rPr>
      </w:pPr>
      <w:r>
        <w:rPr>
          <w:rFonts w:hint="eastAsia" w:ascii="楷体_GB2312" w:hAnsi="宋体" w:eastAsia="楷体_GB2312"/>
          <w:sz w:val="32"/>
          <w:szCs w:val="32"/>
        </w:rPr>
        <w:t xml:space="preserve">提案名称：关于加强护理服务 提升患者就医感受的提案 </w:t>
      </w:r>
    </w:p>
    <w:p w14:paraId="796150C3">
      <w:pPr>
        <w:rPr>
          <w:rFonts w:ascii="楷体_GB2312" w:hAnsi="宋体" w:eastAsia="楷体_GB2312"/>
          <w:sz w:val="32"/>
          <w:szCs w:val="32"/>
        </w:rPr>
      </w:pPr>
      <w:r>
        <w:rPr>
          <w:rFonts w:hint="eastAsia" w:ascii="楷体_GB2312" w:hAnsi="宋体" w:eastAsia="楷体_GB2312"/>
          <w:sz w:val="32"/>
          <w:szCs w:val="32"/>
        </w:rPr>
        <w:t>提 案 人：李素华</w:t>
      </w:r>
    </w:p>
    <w:p w14:paraId="7D9E16E4">
      <w:pPr>
        <w:rPr>
          <w:rFonts w:ascii="楷体_GB2312" w:hAnsi="宋体" w:eastAsia="楷体_GB2312"/>
          <w:sz w:val="32"/>
          <w:szCs w:val="32"/>
        </w:rPr>
      </w:pPr>
      <w:r>
        <w:rPr>
          <w:rFonts w:hint="eastAsia" w:ascii="楷体_GB2312" w:hAnsi="宋体" w:eastAsia="楷体_GB2312"/>
          <w:sz w:val="32"/>
          <w:szCs w:val="32"/>
        </w:rPr>
        <w:t>联系方式：18847605152</w:t>
      </w:r>
    </w:p>
    <w:p w14:paraId="00352AA6">
      <w:pPr>
        <w:rPr>
          <w:rFonts w:ascii="楷体_GB2312" w:hAnsi="宋体" w:eastAsia="楷体_GB2312"/>
          <w:sz w:val="32"/>
          <w:szCs w:val="32"/>
        </w:rPr>
      </w:pPr>
      <w:r>
        <w:rPr>
          <w:rFonts w:hint="eastAsia" w:ascii="楷体_GB2312" w:hAnsi="宋体" w:eastAsia="楷体_GB2312"/>
          <w:sz w:val="32"/>
          <w:szCs w:val="32"/>
        </w:rPr>
        <w:t>界    别：医药卫生</w:t>
      </w:r>
    </w:p>
    <w:p w14:paraId="11BBC15C">
      <w:pPr>
        <w:jc w:val="center"/>
        <w:rPr>
          <w:rFonts w:ascii="方正小标宋简体" w:hAnsi="宋体" w:eastAsia="方正小标宋简体"/>
          <w:sz w:val="44"/>
          <w:szCs w:val="44"/>
        </w:rPr>
      </w:pPr>
      <w:r>
        <w:rPr>
          <w:rFonts w:hint="eastAsia" w:ascii="方正小标宋简体" w:hAnsi="宋体" w:eastAsia="方正小标宋简体"/>
          <w:sz w:val="44"/>
          <w:szCs w:val="44"/>
        </w:rPr>
        <w:t>关于加强护理服务 提升患者就医感受的提案</w:t>
      </w:r>
    </w:p>
    <w:p w14:paraId="76375552">
      <w:pPr>
        <w:jc w:val="center"/>
        <w:rPr>
          <w:rFonts w:ascii="楷体_GB2312" w:hAnsi="宋体" w:eastAsia="楷体_GB2312"/>
          <w:sz w:val="32"/>
          <w:szCs w:val="32"/>
        </w:rPr>
      </w:pPr>
    </w:p>
    <w:p w14:paraId="24FFA0D2">
      <w:pPr>
        <w:pStyle w:val="11"/>
        <w:shd w:val="clear" w:color="auto" w:fill="FFFFFF"/>
        <w:spacing w:beforeAutospacing="0" w:afterAutospacing="0"/>
        <w:ind w:firstLine="760" w:firstLineChars="200"/>
        <w:rPr>
          <w:rFonts w:ascii="仿宋_GB2312" w:eastAsia="仿宋_GB2312"/>
          <w:color w:val="000000"/>
          <w:spacing w:val="30"/>
          <w:sz w:val="32"/>
          <w:szCs w:val="32"/>
          <w:shd w:val="clear" w:color="auto" w:fill="FFFFFF"/>
        </w:rPr>
      </w:pPr>
      <w:r>
        <w:rPr>
          <w:rFonts w:hint="eastAsia" w:ascii="仿宋_GB2312" w:eastAsia="仿宋_GB2312"/>
          <w:color w:val="000000"/>
          <w:spacing w:val="30"/>
          <w:sz w:val="32"/>
          <w:szCs w:val="32"/>
          <w:shd w:val="clear" w:color="auto" w:fill="FFFFFF"/>
        </w:rPr>
        <w:t>护士是医院的主要成员群体，护理服务始终是社会聚焦的问题。为</w:t>
      </w:r>
      <w:r>
        <w:rPr>
          <w:rFonts w:hint="eastAsia" w:ascii="仿宋_GB2312" w:eastAsia="仿宋_GB2312"/>
          <w:spacing w:val="15"/>
          <w:sz w:val="32"/>
          <w:szCs w:val="32"/>
        </w:rPr>
        <w:t>积极响应《全国护理事业发展规划（2021-2025年）》实施方案、《进一步改善护理服务行动计划（2023—2025 年）》工作要求，</w:t>
      </w:r>
      <w:r>
        <w:rPr>
          <w:rFonts w:hint="eastAsia" w:ascii="仿宋_GB2312" w:eastAsia="仿宋_GB2312"/>
          <w:color w:val="323232"/>
          <w:spacing w:val="15"/>
          <w:sz w:val="32"/>
          <w:szCs w:val="32"/>
          <w:shd w:val="clear" w:color="auto" w:fill="FFFFFF"/>
        </w:rPr>
        <w:t>坚持“以病人为中心”的护理理念，以问题为导向</w:t>
      </w:r>
      <w:r>
        <w:rPr>
          <w:rFonts w:hint="eastAsia" w:ascii="仿宋_GB2312" w:eastAsia="仿宋_GB2312"/>
          <w:spacing w:val="15"/>
          <w:sz w:val="32"/>
          <w:szCs w:val="32"/>
        </w:rPr>
        <w:t>，</w:t>
      </w:r>
      <w:r>
        <w:rPr>
          <w:rFonts w:hint="eastAsia" w:ascii="仿宋_GB2312" w:eastAsia="仿宋_GB2312"/>
          <w:color w:val="000000"/>
          <w:spacing w:val="30"/>
          <w:sz w:val="32"/>
          <w:szCs w:val="32"/>
          <w:shd w:val="clear" w:color="auto" w:fill="FFFFFF"/>
        </w:rPr>
        <w:t>不断加强护理队伍建设，完善护理管理体系，深化优质护理服务，在制度建设、内涵管理、基础护理、专科护理、护理文化等方面都有所突破。</w:t>
      </w:r>
    </w:p>
    <w:p w14:paraId="7C5BF639">
      <w:pPr>
        <w:pStyle w:val="11"/>
        <w:shd w:val="clear" w:color="auto" w:fill="FFFFFF"/>
        <w:spacing w:beforeAutospacing="0" w:afterAutospacing="0"/>
        <w:ind w:firstLine="760" w:firstLineChars="200"/>
        <w:rPr>
          <w:rFonts w:ascii="仿宋_GB2312" w:eastAsia="仿宋_GB2312"/>
          <w:color w:val="000000"/>
          <w:spacing w:val="30"/>
          <w:sz w:val="32"/>
          <w:szCs w:val="32"/>
          <w:shd w:val="clear" w:color="auto" w:fill="FFFFFF"/>
        </w:rPr>
      </w:pPr>
      <w:r>
        <w:rPr>
          <w:rFonts w:hint="eastAsia" w:ascii="仿宋_GB2312" w:eastAsia="仿宋_GB2312"/>
          <w:color w:val="000000"/>
          <w:spacing w:val="30"/>
          <w:sz w:val="32"/>
          <w:szCs w:val="32"/>
          <w:shd w:val="clear" w:color="auto" w:fill="FFFFFF"/>
        </w:rPr>
        <w:t>我旗二级公立医院及一级乡镇卫生院目前护理服务存在的问题：一、护理人员毕业学历低（多数学历专科）；二、理论基础不够扎实，临床操作技能欠佳；三、责任心和慎独精神不强；四、二级医院护理信息建设不全，护理文件书写较多，大大占用了服务患者的时间；五、乡镇卫生院收治患者种类单一，提供护理服务项目有限，造成护理服务水平低。结合以上问题，给予了针对性的解决措施，总体目的是提高护理服务能力，保证患者安全，提供优良的就医环境，提高患者就医满意度。</w:t>
      </w:r>
    </w:p>
    <w:p w14:paraId="40FE0EB3">
      <w:pPr>
        <w:rPr>
          <w:rStyle w:val="16"/>
          <w:rFonts w:ascii="黑体" w:hAnsi="黑体" w:eastAsia="黑体"/>
          <w:b w:val="0"/>
          <w:color w:val="333333"/>
          <w:spacing w:val="23"/>
          <w:sz w:val="32"/>
          <w:szCs w:val="32"/>
        </w:rPr>
      </w:pPr>
      <w:r>
        <w:rPr>
          <w:rStyle w:val="16"/>
          <w:rFonts w:hint="eastAsia" w:ascii="黑体" w:hAnsi="黑体" w:eastAsia="黑体"/>
          <w:b w:val="0"/>
          <w:color w:val="333333"/>
          <w:spacing w:val="23"/>
          <w:sz w:val="32"/>
          <w:szCs w:val="32"/>
        </w:rPr>
        <w:t>一、加强质量与安全管理，提高护理服务水平</w:t>
      </w:r>
    </w:p>
    <w:p w14:paraId="07A626A7">
      <w:pPr>
        <w:ind w:firstLine="640" w:firstLineChars="200"/>
        <w:rPr>
          <w:rFonts w:ascii="仿宋_GB2312" w:hAnsi="宋体" w:eastAsia="仿宋_GB2312"/>
          <w:sz w:val="32"/>
          <w:szCs w:val="32"/>
        </w:rPr>
      </w:pPr>
      <w:r>
        <w:rPr>
          <w:rFonts w:hint="eastAsia" w:ascii="仿宋_GB2312" w:hAnsi="宋体" w:eastAsia="仿宋_GB2312"/>
          <w:sz w:val="32"/>
          <w:szCs w:val="32"/>
        </w:rPr>
        <w:t>护理质量工作以《关于开展全面提升医疗质量行动（2023-2025）》等相关文件为指导，围绕患者安全，加强质量的监管和控制，</w:t>
      </w:r>
      <w:r>
        <w:rPr>
          <w:rFonts w:hint="eastAsia" w:ascii="仿宋_GB2312" w:hAnsi="宋体" w:eastAsia="仿宋_GB2312" w:cs="宋体"/>
          <w:color w:val="000000"/>
          <w:sz w:val="32"/>
          <w:szCs w:val="32"/>
        </w:rPr>
        <w:t>施行护理三级管理（护理部、科护士长、护士长）---二级质控（护理部、科室），</w:t>
      </w:r>
      <w:r>
        <w:rPr>
          <w:rFonts w:hint="eastAsia" w:ascii="仿宋_GB2312" w:hAnsi="宋体" w:eastAsia="仿宋_GB2312"/>
          <w:sz w:val="32"/>
          <w:szCs w:val="32"/>
        </w:rPr>
        <w:t>实现护理质量的持续改进。</w:t>
      </w:r>
    </w:p>
    <w:p w14:paraId="1857DFA6">
      <w:pPr>
        <w:ind w:firstLine="640" w:firstLineChars="200"/>
        <w:rPr>
          <w:rFonts w:ascii="仿宋_GB2312" w:hAnsi="宋体" w:eastAsia="仿宋_GB2312"/>
          <w:sz w:val="32"/>
          <w:szCs w:val="32"/>
        </w:rPr>
      </w:pPr>
      <w:r>
        <w:rPr>
          <w:rFonts w:hint="eastAsia" w:ascii="仿宋_GB2312" w:hAnsi="宋体" w:eastAsia="仿宋_GB2312"/>
          <w:sz w:val="32"/>
          <w:szCs w:val="32"/>
        </w:rPr>
        <w:t>加强护士“三基三严”训练，制定在职人员继续教育培训计划，按时培训，全年培训1009人次，全面提升护理人员理论技能水平，提高护理服务质量，满足患者的就医需求。</w:t>
      </w:r>
    </w:p>
    <w:p w14:paraId="170017F8">
      <w:pPr>
        <w:ind w:firstLine="640" w:firstLineChars="200"/>
        <w:rPr>
          <w:rFonts w:ascii="仿宋_GB2312" w:hAnsi="宋体" w:eastAsia="仿宋_GB2312"/>
          <w:sz w:val="32"/>
          <w:szCs w:val="32"/>
        </w:rPr>
      </w:pPr>
      <w:r>
        <w:rPr>
          <w:rFonts w:hint="eastAsia" w:ascii="仿宋_GB2312" w:hAnsi="宋体" w:eastAsia="仿宋_GB2312"/>
          <w:sz w:val="32"/>
          <w:szCs w:val="32"/>
        </w:rPr>
        <w:t>根据市质控中心要求，喀喇沁旗护理质控中心挂靠在我院，结合我旗护理工作实际修订了《喀喇沁旗护理质控中心工作方案》</w:t>
      </w:r>
      <w:r>
        <w:rPr>
          <w:rFonts w:hint="eastAsia" w:ascii="仿宋_GB2312" w:hAnsi="宋体" w:eastAsia="仿宋_GB2312" w:cs="宋体"/>
          <w:color w:val="000000"/>
          <w:sz w:val="32"/>
          <w:szCs w:val="32"/>
        </w:rPr>
        <w:t>《喀喇沁旗护理质控中心工作计划》《喀喇沁旗护理质控中心护理质量考核标准》以及适合乡镇卫生院实用的制度24项、操作43项、护理常规108项、各种护理文件</w:t>
      </w:r>
      <w:r>
        <w:rPr>
          <w:rFonts w:hint="eastAsia" w:ascii="仿宋_GB2312" w:hAnsi="宋体" w:eastAsia="仿宋_GB2312"/>
          <w:sz w:val="32"/>
          <w:szCs w:val="32"/>
        </w:rPr>
        <w:t>及体系架构，明确了质控中心主要</w:t>
      </w:r>
      <w:r>
        <w:rPr>
          <w:rFonts w:hint="eastAsia" w:ascii="仿宋_GB2312" w:hAnsi="宋体" w:eastAsia="仿宋_GB2312"/>
          <w:color w:val="333333"/>
          <w:sz w:val="32"/>
          <w:szCs w:val="32"/>
        </w:rPr>
        <w:t>职责和任务。</w:t>
      </w:r>
      <w:r>
        <w:rPr>
          <w:rFonts w:hint="eastAsia" w:ascii="仿宋_GB2312" w:hAnsi="宋体" w:eastAsia="仿宋_GB2312"/>
          <w:sz w:val="32"/>
          <w:szCs w:val="32"/>
        </w:rPr>
        <w:t>在旗卫生健康委领导下工作，</w:t>
      </w:r>
      <w:r>
        <w:rPr>
          <w:rFonts w:hint="eastAsia" w:ascii="仿宋_GB2312" w:hAnsi="宋体" w:eastAsia="仿宋_GB2312"/>
          <w:color w:val="333333"/>
          <w:sz w:val="32"/>
          <w:szCs w:val="32"/>
        </w:rPr>
        <w:t>对全旗16所乡镇卫生院护理工作进行培训、质量控制、业务指导。</w:t>
      </w:r>
      <w:r>
        <w:rPr>
          <w:rFonts w:hint="eastAsia" w:ascii="仿宋_GB2312" w:hAnsi="宋体" w:eastAsia="仿宋_GB2312"/>
          <w:sz w:val="32"/>
          <w:szCs w:val="32"/>
        </w:rPr>
        <w:t xml:space="preserve">全年检查4次，组织培训理论、技能操作400余人，做到全旗护理单元质量标准同质化、规范化。 </w:t>
      </w:r>
    </w:p>
    <w:p w14:paraId="02001D45">
      <w:pPr>
        <w:ind w:firstLine="640" w:firstLineChars="200"/>
        <w:rPr>
          <w:rFonts w:ascii="仿宋_GB2312" w:hAnsi="宋体" w:eastAsia="仿宋_GB2312"/>
          <w:sz w:val="32"/>
          <w:szCs w:val="32"/>
        </w:rPr>
      </w:pPr>
      <w:r>
        <w:rPr>
          <w:rFonts w:hint="eastAsia" w:ascii="仿宋_GB2312" w:hAnsi="宋体" w:eastAsia="仿宋_GB2312"/>
          <w:sz w:val="32"/>
          <w:szCs w:val="32"/>
        </w:rPr>
        <w:t>医院目前拥有美国GE1.5T磁共振机、64排128层CT机、口腔CT、GE医用血管造影X射线机、全自动数字化摄片机（DR）、</w:t>
      </w:r>
      <w:r>
        <w:rPr>
          <w:rFonts w:hint="eastAsia" w:ascii="仿宋_GB2312" w:hAnsi="宋体" w:eastAsia="仿宋_GB2312"/>
          <w:b/>
          <w:sz w:val="32"/>
          <w:szCs w:val="32"/>
        </w:rPr>
        <w:t>GE</w:t>
      </w:r>
      <w:r>
        <w:rPr>
          <w:rFonts w:hint="eastAsia" w:ascii="仿宋_GB2312" w:hAnsi="宋体" w:eastAsia="仿宋_GB2312"/>
          <w:sz w:val="32"/>
          <w:szCs w:val="32"/>
        </w:rPr>
        <w:t xml:space="preserve"> E10高档四维彩超、</w:t>
      </w:r>
      <w:r>
        <w:rPr>
          <w:rFonts w:hint="eastAsia" w:ascii="仿宋_GB2312" w:hAnsi="宋体" w:eastAsia="仿宋_GB2312"/>
          <w:b/>
          <w:sz w:val="32"/>
          <w:szCs w:val="32"/>
        </w:rPr>
        <w:t>GE</w:t>
      </w:r>
      <w:r>
        <w:rPr>
          <w:rFonts w:hint="eastAsia" w:ascii="仿宋_GB2312" w:hAnsi="宋体" w:eastAsia="仿宋_GB2312"/>
          <w:sz w:val="32"/>
          <w:szCs w:val="32"/>
        </w:rPr>
        <w:t xml:space="preserve"> E9全身彩超、</w:t>
      </w:r>
      <w:r>
        <w:rPr>
          <w:rFonts w:hint="eastAsia" w:ascii="仿宋_GB2312" w:hAnsi="宋体" w:eastAsia="仿宋_GB2312"/>
          <w:b/>
          <w:sz w:val="32"/>
          <w:szCs w:val="32"/>
        </w:rPr>
        <w:t>GE</w:t>
      </w:r>
      <w:r>
        <w:rPr>
          <w:rFonts w:hint="eastAsia" w:ascii="仿宋_GB2312" w:hAnsi="宋体" w:eastAsia="仿宋_GB2312"/>
          <w:sz w:val="32"/>
          <w:szCs w:val="32"/>
        </w:rPr>
        <w:t xml:space="preserve"> E8妇检超声、贝克曼全自动流水线检验设备、奥林巴斯CV290电子胃肠系统等大型医疗设备两百余台件，为临床诊断治疗疾病提供强有力的保障。</w:t>
      </w:r>
    </w:p>
    <w:p w14:paraId="5140DAA9">
      <w:pPr>
        <w:ind w:firstLine="640" w:firstLineChars="200"/>
        <w:rPr>
          <w:rFonts w:ascii="仿宋_GB2312" w:hAnsi="宋体" w:eastAsia="仿宋_GB2312"/>
          <w:sz w:val="32"/>
          <w:szCs w:val="32"/>
        </w:rPr>
      </w:pPr>
      <w:r>
        <w:rPr>
          <w:rFonts w:hint="eastAsia" w:ascii="仿宋_GB2312" w:hAnsi="宋体" w:eastAsia="仿宋_GB2312"/>
          <w:sz w:val="32"/>
          <w:szCs w:val="32"/>
        </w:rPr>
        <w:t>积极开展新业务，新项目。骨科新开展关节镜手术、腰椎骨折椎体成形术；心血管内科开展心脏介入手术（今年10月份开展，迄今手术37例），为了配合新业务开展，采取“派出去、请进来”的方式，培养专科护士，保证患者安全，工作顺利开展。</w:t>
      </w:r>
    </w:p>
    <w:p w14:paraId="22D5D1DE">
      <w:pPr>
        <w:rPr>
          <w:rFonts w:ascii="黑体" w:hAnsi="黑体" w:eastAsia="黑体"/>
          <w:b/>
          <w:sz w:val="32"/>
          <w:szCs w:val="32"/>
        </w:rPr>
      </w:pPr>
      <w:r>
        <w:rPr>
          <w:rStyle w:val="16"/>
          <w:rFonts w:hint="eastAsia" w:ascii="黑体" w:hAnsi="黑体" w:eastAsia="黑体"/>
          <w:b w:val="0"/>
          <w:color w:val="333333"/>
          <w:spacing w:val="23"/>
          <w:sz w:val="32"/>
          <w:szCs w:val="32"/>
        </w:rPr>
        <w:t>二、深化优质护理服务，提升患者就医感受</w:t>
      </w:r>
    </w:p>
    <w:p w14:paraId="0CF17427">
      <w:pPr>
        <w:spacing w:line="360" w:lineRule="auto"/>
        <w:ind w:firstLine="640" w:firstLineChars="200"/>
        <w:jc w:val="left"/>
        <w:rPr>
          <w:rFonts w:ascii="仿宋_GB2312" w:hAnsi="宋体" w:eastAsia="仿宋_GB2312" w:cs="仿宋"/>
          <w:sz w:val="32"/>
          <w:szCs w:val="32"/>
        </w:rPr>
      </w:pPr>
      <w:r>
        <w:rPr>
          <w:rFonts w:hint="eastAsia" w:ascii="楷体_GB2312" w:hAnsi="宋体" w:eastAsia="楷体_GB2312"/>
          <w:sz w:val="32"/>
          <w:szCs w:val="32"/>
        </w:rPr>
        <w:t>（一）优质护理服务全院覆盖，</w:t>
      </w:r>
      <w:r>
        <w:rPr>
          <w:rFonts w:hint="eastAsia" w:ascii="楷体_GB2312" w:hAnsi="宋体" w:eastAsia="楷体_GB2312" w:cs="仿宋"/>
          <w:sz w:val="32"/>
          <w:szCs w:val="32"/>
        </w:rPr>
        <w:t>依法执业，医院出台了《护士岗位管理规定》，逐步实现护士岗位管理</w:t>
      </w:r>
      <w:r>
        <w:rPr>
          <w:rFonts w:hint="eastAsia" w:ascii="仿宋_GB2312" w:hAnsi="宋体" w:eastAsia="仿宋_GB2312" w:cs="仿宋"/>
          <w:sz w:val="32"/>
          <w:szCs w:val="32"/>
        </w:rPr>
        <w:t>。制定“护士岗位层级管理方案”，明确各层级护士岗位职责、能力要求和考核晋级管理办法。建立能级管理档案，落实护士分层使用，依据病人病情、护理难度和技术要求分配责任护士，体现能级与岗位对应，建立绩效二次分配方案，提高护理服务主观能动性。</w:t>
      </w:r>
    </w:p>
    <w:p w14:paraId="6ED9CF93">
      <w:pPr>
        <w:ind w:firstLine="640" w:firstLineChars="200"/>
        <w:rPr>
          <w:rFonts w:ascii="仿宋_GB2312" w:hAnsi="宋体" w:eastAsia="仿宋_GB2312"/>
          <w:color w:val="333333"/>
          <w:spacing w:val="15"/>
          <w:sz w:val="32"/>
          <w:szCs w:val="32"/>
        </w:rPr>
      </w:pPr>
      <w:r>
        <w:rPr>
          <w:rFonts w:hint="eastAsia" w:ascii="楷体_GB2312" w:hAnsi="宋体" w:eastAsia="楷体_GB2312"/>
          <w:sz w:val="32"/>
          <w:szCs w:val="32"/>
        </w:rPr>
        <w:t>（二）落实改善就医感受，提升患者体验，护理部持续推进“一科一特色”和“有温度”的护理服务。</w:t>
      </w:r>
      <w:r>
        <w:rPr>
          <w:rFonts w:hint="eastAsia" w:ascii="仿宋_GB2312" w:hAnsi="宋体" w:eastAsia="仿宋_GB2312"/>
          <w:color w:val="333333"/>
          <w:spacing w:val="15"/>
          <w:sz w:val="32"/>
          <w:szCs w:val="32"/>
        </w:rPr>
        <w:t>制作了疾病相关知识的科普视频及个性化宣教手册，突出专科特色，相较于单一的图文形式，</w:t>
      </w:r>
      <w:r>
        <w:rPr>
          <w:rFonts w:hint="eastAsia" w:ascii="仿宋_GB2312" w:hAnsi="宋体" w:eastAsia="仿宋_GB2312"/>
          <w:sz w:val="32"/>
          <w:szCs w:val="32"/>
        </w:rPr>
        <w:t>更加清晰化、具体化、可视化，更易被患者接受，保证患者安全，减少不良事件发生。</w:t>
      </w:r>
    </w:p>
    <w:p w14:paraId="4B02AB66">
      <w:pPr>
        <w:pStyle w:val="11"/>
        <w:shd w:val="clear" w:color="auto" w:fill="FEFEFE"/>
        <w:spacing w:beforeAutospacing="0" w:afterAutospacing="0"/>
        <w:ind w:firstLine="700" w:firstLineChars="200"/>
        <w:jc w:val="both"/>
        <w:rPr>
          <w:rFonts w:ascii="仿宋_GB2312" w:eastAsia="仿宋_GB2312"/>
          <w:color w:val="333333"/>
          <w:spacing w:val="15"/>
          <w:sz w:val="32"/>
          <w:szCs w:val="32"/>
        </w:rPr>
      </w:pPr>
      <w:r>
        <w:rPr>
          <w:rFonts w:hint="eastAsia" w:ascii="楷体_GB2312" w:eastAsia="楷体_GB2312"/>
          <w:color w:val="333333"/>
          <w:spacing w:val="15"/>
          <w:sz w:val="32"/>
          <w:szCs w:val="32"/>
        </w:rPr>
        <w:t>（三）建立科室医、护、患微信群，将患者的咨询作为科室的常态工作。</w:t>
      </w:r>
      <w:r>
        <w:rPr>
          <w:rFonts w:hint="eastAsia" w:ascii="仿宋_GB2312" w:eastAsia="仿宋_GB2312"/>
          <w:color w:val="333333"/>
          <w:spacing w:val="15"/>
          <w:sz w:val="32"/>
          <w:szCs w:val="32"/>
        </w:rPr>
        <w:t>坚持在群里发布健康小知识，出院患者持续享有主治医师和责任护士医疗服务。</w:t>
      </w:r>
    </w:p>
    <w:p w14:paraId="47AE400B">
      <w:pPr>
        <w:ind w:firstLine="700" w:firstLineChars="200"/>
        <w:rPr>
          <w:rFonts w:ascii="仿宋_GB2312" w:hAnsi="宋体" w:eastAsia="仿宋_GB2312"/>
          <w:sz w:val="32"/>
          <w:szCs w:val="32"/>
        </w:rPr>
      </w:pPr>
      <w:r>
        <w:rPr>
          <w:rFonts w:hint="eastAsia" w:ascii="楷体_GB2312" w:hAnsi="宋体" w:eastAsia="楷体_GB2312"/>
          <w:color w:val="333333"/>
          <w:spacing w:val="15"/>
          <w:sz w:val="32"/>
          <w:szCs w:val="32"/>
        </w:rPr>
        <w:t>（四）科室不定期组织健康科普小讲堂，科普活动内容丰富，形式多样，通俗易懂</w:t>
      </w:r>
      <w:r>
        <w:rPr>
          <w:rFonts w:hint="eastAsia" w:ascii="仿宋_GB2312" w:hAnsi="宋体" w:eastAsia="仿宋_GB2312"/>
          <w:color w:val="333333"/>
          <w:spacing w:val="15"/>
          <w:sz w:val="32"/>
          <w:szCs w:val="32"/>
        </w:rPr>
        <w:t>。通过简单的游戏，现场操作，</w:t>
      </w:r>
      <w:r>
        <w:rPr>
          <w:rFonts w:hint="eastAsia" w:ascii="仿宋_GB2312" w:hAnsi="宋体" w:eastAsia="仿宋_GB2312"/>
          <w:color w:val="222222"/>
          <w:sz w:val="32"/>
          <w:szCs w:val="32"/>
          <w:shd w:val="clear" w:color="auto" w:fill="FFFFFF"/>
        </w:rPr>
        <w:t>医患互动，使患者掌握疾病日常护理，出院后也能自我照护，患者满意度提高。</w:t>
      </w:r>
    </w:p>
    <w:p w14:paraId="5644C813">
      <w:pPr>
        <w:spacing w:line="360" w:lineRule="auto"/>
        <w:ind w:firstLine="640" w:firstLineChars="200"/>
        <w:rPr>
          <w:rFonts w:ascii="仿宋_GB2312" w:hAnsi="宋体" w:eastAsia="仿宋_GB2312"/>
          <w:sz w:val="32"/>
          <w:szCs w:val="32"/>
        </w:rPr>
      </w:pPr>
      <w:r>
        <w:rPr>
          <w:rFonts w:hint="eastAsia" w:ascii="楷体_GB2312" w:hAnsi="宋体" w:eastAsia="楷体_GB2312"/>
          <w:color w:val="222222"/>
          <w:sz w:val="32"/>
          <w:szCs w:val="32"/>
          <w:shd w:val="clear" w:color="auto" w:fill="FFFFFF"/>
        </w:rPr>
        <w:t>（五）</w:t>
      </w:r>
      <w:r>
        <w:rPr>
          <w:rFonts w:hint="eastAsia" w:ascii="楷体_GB2312" w:hAnsi="宋体" w:eastAsia="楷体_GB2312"/>
          <w:sz w:val="32"/>
          <w:szCs w:val="32"/>
        </w:rPr>
        <w:t>实行“6S”管理。</w:t>
      </w:r>
      <w:r>
        <w:rPr>
          <w:rFonts w:hint="eastAsia" w:ascii="仿宋_GB2312" w:hAnsi="宋体" w:eastAsia="仿宋_GB2312"/>
          <w:sz w:val="32"/>
          <w:szCs w:val="32"/>
        </w:rPr>
        <w:t>以提高医院的形象和综合素质，优化工作环境，提升工作效率，保证工作质量，提高护士综合素质等创造有利条件。</w:t>
      </w:r>
    </w:p>
    <w:p w14:paraId="00E263C0">
      <w:pPr>
        <w:ind w:firstLine="640" w:firstLineChars="200"/>
        <w:rPr>
          <w:rFonts w:ascii="仿宋_GB2312" w:hAnsi="宋体" w:eastAsia="仿宋_GB2312"/>
          <w:sz w:val="32"/>
          <w:szCs w:val="32"/>
        </w:rPr>
      </w:pPr>
      <w:r>
        <w:rPr>
          <w:rFonts w:hint="eastAsia" w:ascii="楷体_GB2312" w:hAnsi="宋体" w:eastAsia="楷体_GB2312"/>
          <w:sz w:val="32"/>
          <w:szCs w:val="32"/>
        </w:rPr>
        <w:t>（六）为进一步提升优质护理服务水平。</w:t>
      </w:r>
      <w:r>
        <w:rPr>
          <w:rFonts w:hint="eastAsia" w:ascii="仿宋_GB2312" w:hAnsi="宋体" w:eastAsia="仿宋_GB2312"/>
          <w:sz w:val="32"/>
          <w:szCs w:val="32"/>
        </w:rPr>
        <w:t>精准对接和满足群众多层次、多样化、个性化护理需求，延伸优质护理服务内容，我院采用了“互联网+护理服务”，线上下单，线下服务的举措，整个护理服务团队由具有相关专业5年以上临床工作经验，中级及以上职称的护士及护士长组成，确保上门护理服务专业化、规范化、高质量，全年居家护理79人次。</w:t>
      </w:r>
    </w:p>
    <w:p w14:paraId="615D0A5A">
      <w:pPr>
        <w:tabs>
          <w:tab w:val="left" w:pos="5556"/>
        </w:tabs>
        <w:spacing w:line="360" w:lineRule="auto"/>
        <w:ind w:firstLine="560"/>
        <w:rPr>
          <w:rFonts w:ascii="仿宋_GB2312" w:hAnsi="宋体" w:eastAsia="仿宋_GB2312" w:cs="宋体"/>
          <w:kern w:val="1"/>
          <w:sz w:val="32"/>
          <w:szCs w:val="32"/>
        </w:rPr>
      </w:pPr>
      <w:r>
        <w:rPr>
          <w:rFonts w:hint="eastAsia" w:ascii="楷体_GB2312" w:hAnsi="宋体" w:eastAsia="楷体_GB2312"/>
          <w:spacing w:val="15"/>
          <w:sz w:val="32"/>
          <w:szCs w:val="32"/>
        </w:rPr>
        <w:t>（七）</w:t>
      </w:r>
      <w:r>
        <w:rPr>
          <w:rFonts w:hint="eastAsia" w:ascii="楷体_GB2312" w:hAnsi="宋体" w:eastAsia="楷体_GB2312" w:cs="宋体"/>
          <w:kern w:val="1"/>
          <w:sz w:val="32"/>
          <w:szCs w:val="32"/>
        </w:rPr>
        <w:t>明确了门（急）诊护理服务职责及首问负责制。</w:t>
      </w:r>
      <w:r>
        <w:rPr>
          <w:rFonts w:hint="eastAsia" w:ascii="仿宋_GB2312" w:hAnsi="宋体" w:eastAsia="仿宋_GB2312" w:cs="宋体"/>
          <w:kern w:val="1"/>
          <w:sz w:val="32"/>
          <w:szCs w:val="32"/>
        </w:rPr>
        <w:t>开展新生儿、卒中中心、胸痛中心、高危孕产妇等绿色通道。</w:t>
      </w:r>
      <w:r>
        <w:rPr>
          <w:rFonts w:hint="eastAsia" w:ascii="仿宋_GB2312" w:hAnsi="宋体" w:eastAsia="仿宋_GB2312"/>
          <w:sz w:val="32"/>
          <w:szCs w:val="32"/>
        </w:rPr>
        <w:t>增加导诊人员，并在CT、放射等检查科室设立分诊护士，</w:t>
      </w:r>
      <w:r>
        <w:rPr>
          <w:rFonts w:hint="eastAsia" w:ascii="仿宋_GB2312" w:hAnsi="宋体" w:eastAsia="仿宋_GB2312"/>
          <w:spacing w:val="15"/>
          <w:sz w:val="32"/>
          <w:szCs w:val="32"/>
        </w:rPr>
        <w:t>协助办理医保、缴住院费等业务，</w:t>
      </w:r>
      <w:r>
        <w:rPr>
          <w:rFonts w:hint="eastAsia" w:ascii="仿宋_GB2312" w:hAnsi="宋体" w:eastAsia="仿宋_GB2312"/>
          <w:sz w:val="32"/>
          <w:szCs w:val="32"/>
        </w:rPr>
        <w:t>方便了患者就医检查</w:t>
      </w:r>
      <w:r>
        <w:rPr>
          <w:rFonts w:hint="eastAsia" w:ascii="仿宋_GB2312" w:hAnsi="宋体" w:eastAsia="仿宋_GB2312"/>
          <w:spacing w:val="15"/>
          <w:sz w:val="32"/>
          <w:szCs w:val="32"/>
        </w:rPr>
        <w:t>。</w:t>
      </w:r>
      <w:r>
        <w:rPr>
          <w:rFonts w:hint="eastAsia" w:ascii="仿宋_GB2312" w:hAnsi="宋体" w:eastAsia="仿宋_GB2312" w:cs="宋体"/>
          <w:kern w:val="1"/>
          <w:sz w:val="32"/>
          <w:szCs w:val="32"/>
        </w:rPr>
        <w:t>对候诊、就诊患者增加了巡视次数，密切观察患者病情变化，给予及时、有效处置，更好的提高患者就医感受。</w:t>
      </w:r>
    </w:p>
    <w:p w14:paraId="26D803F0">
      <w:pPr>
        <w:tabs>
          <w:tab w:val="left" w:pos="5556"/>
        </w:tabs>
        <w:spacing w:line="360" w:lineRule="auto"/>
        <w:ind w:firstLine="560"/>
        <w:rPr>
          <w:rFonts w:ascii="仿宋_GB2312" w:hAnsi="宋体" w:eastAsia="仿宋_GB2312" w:cs="宋体"/>
          <w:kern w:val="1"/>
          <w:sz w:val="32"/>
          <w:szCs w:val="32"/>
        </w:rPr>
      </w:pPr>
      <w:r>
        <w:rPr>
          <w:rFonts w:hint="eastAsia" w:ascii="楷体_GB2312" w:hAnsi="宋体" w:eastAsia="楷体_GB2312" w:cs="宋体"/>
          <w:kern w:val="1"/>
          <w:sz w:val="32"/>
          <w:szCs w:val="32"/>
        </w:rPr>
        <w:t>（八）加强信息化建设。</w:t>
      </w:r>
      <w:r>
        <w:rPr>
          <w:rFonts w:hint="eastAsia" w:ascii="仿宋_GB2312" w:hAnsi="宋体" w:eastAsia="仿宋_GB2312"/>
          <w:sz w:val="32"/>
          <w:szCs w:val="32"/>
        </w:rPr>
        <w:t>增设自助挂号服务系统、输血系统、VTE系统、手麻重症系统、不良事件上报系统等，正在完善中的有门诊排队叫号系统及住院呼叫系统，不同程度上优化了工作流程，减少了护士工作量。</w:t>
      </w:r>
    </w:p>
    <w:p w14:paraId="58ABD211">
      <w:pPr>
        <w:rPr>
          <w:rFonts w:ascii="黑体" w:hAnsi="黑体" w:eastAsia="黑体"/>
          <w:b/>
          <w:sz w:val="32"/>
          <w:szCs w:val="32"/>
        </w:rPr>
      </w:pPr>
      <w:r>
        <w:rPr>
          <w:rStyle w:val="16"/>
          <w:rFonts w:hint="eastAsia" w:ascii="黑体" w:hAnsi="黑体" w:eastAsia="黑体"/>
          <w:b w:val="0"/>
          <w:color w:val="333333"/>
          <w:spacing w:val="23"/>
          <w:sz w:val="32"/>
          <w:szCs w:val="32"/>
        </w:rPr>
        <w:t>三、加强医德医风建设，提高护士综合素质</w:t>
      </w:r>
    </w:p>
    <w:p w14:paraId="2D3FBA18">
      <w:pPr>
        <w:ind w:firstLine="640" w:firstLineChars="200"/>
        <w:rPr>
          <w:rFonts w:ascii="仿宋_GB2312" w:hAnsi="宋体" w:eastAsia="仿宋_GB2312"/>
          <w:sz w:val="32"/>
          <w:szCs w:val="32"/>
        </w:rPr>
      </w:pPr>
      <w:r>
        <w:rPr>
          <w:rFonts w:hint="eastAsia" w:ascii="仿宋_GB2312" w:hAnsi="宋体" w:eastAsia="仿宋_GB2312"/>
          <w:sz w:val="32"/>
          <w:szCs w:val="32"/>
        </w:rPr>
        <w:t>加强医德医风建设是持续提升群众就医满意度的重要举措 ，护理部制定了《护理行风建设实施方案》及《护理服务考核标准》，组织全体护士长召开行动会议，对方案内容及标准进行解读培训学习，会后各科护士长组织科室护理全员进行培训，要求护理人员做到衣着端庄得体、语言文明礼貌、态度和蔼可亲、服务主动周到、技术准确娴熟，同时增强护理人员对“浮夸软、慵懒散”等行风建设重点内容的紧迫感和责任心，旨在从整体上全面提高护理服务质量。护理部考核组不定时深入科室，从基础护理、技能操作、健康指导、沟通交流到人文关怀多方面，严查护士的护理质量和服务质量。旨在以更加专业的护理技术和饱满的热情为患者提供优质、舒心、满意的护理服务。</w:t>
      </w:r>
    </w:p>
    <w:p w14:paraId="07F818A9">
      <w:pPr>
        <w:ind w:firstLine="760" w:firstLineChars="200"/>
        <w:rPr>
          <w:rFonts w:ascii="仿宋_GB2312" w:hAnsi="宋体" w:eastAsia="仿宋_GB2312"/>
          <w:color w:val="000000"/>
          <w:spacing w:val="30"/>
          <w:sz w:val="32"/>
          <w:szCs w:val="32"/>
          <w:shd w:val="clear" w:color="auto" w:fill="FEFEFE"/>
        </w:rPr>
      </w:pPr>
      <w:r>
        <w:rPr>
          <w:rFonts w:hint="eastAsia" w:ascii="仿宋_GB2312" w:hAnsi="宋体" w:eastAsia="仿宋_GB2312"/>
          <w:color w:val="000000"/>
          <w:spacing w:val="30"/>
          <w:sz w:val="32"/>
          <w:szCs w:val="32"/>
          <w:shd w:val="clear" w:color="auto" w:fill="FEFEFE"/>
        </w:rPr>
        <w:t>通过实施以上举措，我们取得了显著成效:患者满意度明显提升，社会满意度调查96%以上，护理服务纠纷显著下降，就医流程更加便捷，医患关系更加和谐。未来，我们将继续逐步完善护理信息化建设，加强护理阶梯培养，“以病人为中心”，以患者需求为导向，不断反思、行动、检验、再反思，周而复始，循而向前，不断完善就医服务体系，以专业的人、专业的技术，为患者提供更专业的护理服务。</w:t>
      </w:r>
    </w:p>
    <w:p w14:paraId="3EFF3126">
      <w:pPr>
        <w:spacing w:line="560" w:lineRule="exact"/>
        <w:rPr>
          <w:rFonts w:ascii="楷体_GB2312" w:hAnsi="楷体" w:eastAsia="楷体_GB2312"/>
          <w:bCs/>
          <w:spacing w:val="-17"/>
          <w:sz w:val="32"/>
          <w:szCs w:val="32"/>
        </w:rPr>
      </w:pPr>
    </w:p>
    <w:p w14:paraId="6626C6E1">
      <w:pPr>
        <w:spacing w:line="560" w:lineRule="exact"/>
        <w:rPr>
          <w:rFonts w:ascii="楷体_GB2312" w:hAnsi="楷体" w:eastAsia="楷体_GB2312"/>
          <w:bCs/>
          <w:spacing w:val="-17"/>
          <w:sz w:val="32"/>
          <w:szCs w:val="32"/>
        </w:rPr>
      </w:pPr>
    </w:p>
    <w:p w14:paraId="7AE07A21">
      <w:pPr>
        <w:spacing w:line="560" w:lineRule="exact"/>
        <w:rPr>
          <w:rFonts w:ascii="楷体_GB2312" w:hAnsi="楷体" w:eastAsia="楷体_GB2312"/>
          <w:bCs/>
          <w:spacing w:val="-17"/>
          <w:sz w:val="32"/>
          <w:szCs w:val="32"/>
        </w:rPr>
      </w:pPr>
    </w:p>
    <w:p w14:paraId="32CDEAA1">
      <w:pPr>
        <w:spacing w:line="560" w:lineRule="exact"/>
        <w:rPr>
          <w:rFonts w:ascii="楷体_GB2312" w:hAnsi="楷体" w:eastAsia="楷体_GB2312"/>
          <w:bCs/>
          <w:spacing w:val="-17"/>
          <w:sz w:val="32"/>
          <w:szCs w:val="32"/>
        </w:rPr>
      </w:pPr>
    </w:p>
    <w:p w14:paraId="371468EA">
      <w:pPr>
        <w:spacing w:line="560" w:lineRule="exact"/>
        <w:rPr>
          <w:rFonts w:ascii="楷体_GB2312" w:hAnsi="楷体" w:eastAsia="楷体_GB2312"/>
          <w:bCs/>
          <w:spacing w:val="-17"/>
          <w:sz w:val="32"/>
          <w:szCs w:val="32"/>
        </w:rPr>
      </w:pPr>
    </w:p>
    <w:p w14:paraId="45A75A24">
      <w:pPr>
        <w:spacing w:line="560" w:lineRule="exact"/>
        <w:rPr>
          <w:rFonts w:ascii="楷体_GB2312" w:hAnsi="楷体" w:eastAsia="楷体_GB2312"/>
          <w:bCs/>
          <w:spacing w:val="-17"/>
          <w:sz w:val="32"/>
          <w:szCs w:val="32"/>
        </w:rPr>
      </w:pPr>
    </w:p>
    <w:p w14:paraId="2B584D05">
      <w:pPr>
        <w:spacing w:line="560" w:lineRule="exact"/>
        <w:rPr>
          <w:rFonts w:ascii="楷体_GB2312" w:hAnsi="楷体" w:eastAsia="楷体_GB2312"/>
          <w:bCs/>
          <w:spacing w:val="-17"/>
          <w:sz w:val="32"/>
          <w:szCs w:val="32"/>
        </w:rPr>
      </w:pPr>
    </w:p>
    <w:p w14:paraId="33EAF21F">
      <w:pPr>
        <w:spacing w:line="560" w:lineRule="exact"/>
        <w:rPr>
          <w:rFonts w:ascii="楷体_GB2312" w:hAnsi="楷体" w:eastAsia="楷体_GB2312"/>
          <w:bCs/>
          <w:spacing w:val="-17"/>
          <w:sz w:val="32"/>
          <w:szCs w:val="32"/>
        </w:rPr>
      </w:pPr>
    </w:p>
    <w:p w14:paraId="6BD20A36">
      <w:pPr>
        <w:spacing w:line="560" w:lineRule="exact"/>
        <w:rPr>
          <w:rFonts w:ascii="楷体_GB2312" w:hAnsi="楷体" w:eastAsia="楷体_GB2312"/>
          <w:bCs/>
          <w:spacing w:val="-17"/>
          <w:sz w:val="32"/>
          <w:szCs w:val="32"/>
        </w:rPr>
      </w:pPr>
    </w:p>
    <w:p w14:paraId="6C6C4CC9">
      <w:pPr>
        <w:spacing w:line="560" w:lineRule="exact"/>
        <w:rPr>
          <w:rFonts w:ascii="楷体_GB2312" w:hAnsi="楷体" w:eastAsia="楷体_GB2312"/>
          <w:bCs/>
          <w:spacing w:val="-17"/>
          <w:sz w:val="32"/>
          <w:szCs w:val="32"/>
        </w:rPr>
      </w:pPr>
    </w:p>
    <w:p w14:paraId="2A23E32A">
      <w:pPr>
        <w:spacing w:line="560" w:lineRule="exact"/>
        <w:rPr>
          <w:rFonts w:ascii="楷体_GB2312" w:hAnsi="楷体" w:eastAsia="楷体_GB2312"/>
          <w:bCs/>
          <w:spacing w:val="-17"/>
          <w:sz w:val="32"/>
          <w:szCs w:val="32"/>
        </w:rPr>
      </w:pPr>
    </w:p>
    <w:p w14:paraId="718751B0">
      <w:pPr>
        <w:spacing w:line="560" w:lineRule="exact"/>
        <w:rPr>
          <w:rFonts w:ascii="楷体_GB2312" w:hAnsi="楷体" w:eastAsia="楷体_GB2312"/>
          <w:bCs/>
          <w:spacing w:val="-17"/>
          <w:sz w:val="32"/>
          <w:szCs w:val="32"/>
        </w:rPr>
      </w:pPr>
    </w:p>
    <w:p w14:paraId="09E76B9C">
      <w:pPr>
        <w:spacing w:line="560" w:lineRule="exact"/>
        <w:rPr>
          <w:rFonts w:ascii="楷体_GB2312" w:hAnsi="楷体" w:eastAsia="楷体_GB2312"/>
          <w:bCs/>
          <w:spacing w:val="-17"/>
          <w:sz w:val="32"/>
          <w:szCs w:val="32"/>
        </w:rPr>
      </w:pPr>
    </w:p>
    <w:p w14:paraId="08E802F2">
      <w:pPr>
        <w:spacing w:line="560" w:lineRule="exact"/>
        <w:rPr>
          <w:rFonts w:ascii="楷体_GB2312" w:hAnsi="楷体" w:eastAsia="楷体_GB2312"/>
          <w:bCs/>
          <w:spacing w:val="-17"/>
          <w:sz w:val="32"/>
          <w:szCs w:val="32"/>
        </w:rPr>
      </w:pPr>
    </w:p>
    <w:p w14:paraId="4702136B">
      <w:pPr>
        <w:spacing w:line="560" w:lineRule="exact"/>
        <w:rPr>
          <w:rFonts w:ascii="楷体_GB2312" w:hAnsi="楷体" w:eastAsia="楷体_GB2312"/>
          <w:bCs/>
          <w:spacing w:val="-17"/>
          <w:sz w:val="32"/>
          <w:szCs w:val="32"/>
        </w:rPr>
      </w:pPr>
    </w:p>
    <w:p w14:paraId="52721EDA">
      <w:pPr>
        <w:spacing w:line="560" w:lineRule="exact"/>
        <w:rPr>
          <w:rFonts w:ascii="楷体_GB2312" w:hAnsi="楷体" w:eastAsia="楷体_GB2312"/>
          <w:bCs/>
          <w:spacing w:val="-17"/>
          <w:sz w:val="32"/>
          <w:szCs w:val="32"/>
        </w:rPr>
      </w:pPr>
    </w:p>
    <w:p w14:paraId="50D24EB9">
      <w:pPr>
        <w:spacing w:line="560" w:lineRule="exact"/>
        <w:rPr>
          <w:rFonts w:ascii="楷体_GB2312" w:hAnsi="楷体" w:eastAsia="楷体_GB2312"/>
          <w:bCs/>
          <w:spacing w:val="-17"/>
          <w:sz w:val="32"/>
          <w:szCs w:val="32"/>
        </w:rPr>
      </w:pPr>
      <w:r>
        <w:rPr>
          <w:rFonts w:hint="eastAsia" w:ascii="楷体_GB2312" w:hAnsi="楷体" w:eastAsia="楷体_GB2312"/>
          <w:bCs/>
          <w:spacing w:val="-17"/>
          <w:sz w:val="32"/>
          <w:szCs w:val="32"/>
        </w:rPr>
        <w:t>提案编号：046</w:t>
      </w:r>
    </w:p>
    <w:p w14:paraId="0A9A1918">
      <w:pPr>
        <w:pStyle w:val="30"/>
        <w:widowControl/>
        <w:shd w:val="clear" w:color="auto" w:fill="FFFFFF"/>
        <w:spacing w:before="120" w:beforeAutospacing="0" w:after="0" w:afterAutospacing="0" w:line="504" w:lineRule="atLeast"/>
        <w:jc w:val="both"/>
        <w:rPr>
          <w:rFonts w:hint="default" w:ascii="楷体_GB2312" w:hAnsi="楷体" w:eastAsia="楷体_GB2312"/>
          <w:b w:val="0"/>
          <w:spacing w:val="-17"/>
          <w:sz w:val="32"/>
          <w:szCs w:val="32"/>
        </w:rPr>
      </w:pPr>
      <w:r>
        <w:rPr>
          <w:rFonts w:ascii="楷体_GB2312" w:hAnsi="楷体" w:eastAsia="楷体_GB2312"/>
          <w:b w:val="0"/>
          <w:spacing w:val="-17"/>
          <w:sz w:val="32"/>
          <w:szCs w:val="32"/>
        </w:rPr>
        <w:t>提案名称：关于加强老旧小区线缆整治的提案</w:t>
      </w:r>
    </w:p>
    <w:p w14:paraId="0DEE81FD">
      <w:pPr>
        <w:spacing w:line="560" w:lineRule="exact"/>
        <w:rPr>
          <w:rFonts w:ascii="楷体_GB2312" w:hAnsi="楷体" w:eastAsia="楷体_GB2312"/>
          <w:bCs/>
          <w:spacing w:val="-30"/>
          <w:sz w:val="32"/>
          <w:szCs w:val="32"/>
        </w:rPr>
      </w:pPr>
      <w:r>
        <w:rPr>
          <w:rFonts w:hint="eastAsia" w:ascii="楷体_GB2312" w:hAnsi="楷体" w:eastAsia="楷体_GB2312"/>
          <w:bCs/>
          <w:spacing w:val="-30"/>
          <w:sz w:val="32"/>
          <w:szCs w:val="32"/>
        </w:rPr>
        <w:t>提  案  人</w:t>
      </w:r>
      <w:r>
        <w:rPr>
          <w:rFonts w:hint="eastAsia" w:ascii="楷体_GB2312" w:hAnsi="楷体" w:eastAsia="楷体_GB2312"/>
          <w:sz w:val="32"/>
          <w:szCs w:val="32"/>
        </w:rPr>
        <w:t>：徐大林</w:t>
      </w:r>
      <w:r>
        <w:rPr>
          <w:rFonts w:hint="eastAsia" w:ascii="楷体_GB2312" w:hAnsi="楷体" w:eastAsia="楷体_GB2312"/>
          <w:bCs/>
          <w:spacing w:val="-17"/>
          <w:sz w:val="32"/>
          <w:szCs w:val="32"/>
        </w:rPr>
        <w:t xml:space="preserve"> </w:t>
      </w:r>
    </w:p>
    <w:p w14:paraId="783E6E45">
      <w:pPr>
        <w:spacing w:line="560" w:lineRule="exact"/>
        <w:rPr>
          <w:rFonts w:ascii="楷体_GB2312" w:hAnsi="楷体" w:eastAsia="楷体_GB2312"/>
          <w:bCs/>
          <w:spacing w:val="-17"/>
          <w:sz w:val="32"/>
          <w:szCs w:val="32"/>
        </w:rPr>
      </w:pPr>
      <w:r>
        <w:rPr>
          <w:rFonts w:hint="eastAsia" w:ascii="楷体_GB2312" w:hAnsi="楷体" w:eastAsia="楷体_GB2312"/>
          <w:bCs/>
          <w:spacing w:val="-17"/>
          <w:sz w:val="32"/>
          <w:szCs w:val="32"/>
        </w:rPr>
        <w:t>联系方式</w:t>
      </w:r>
      <w:r>
        <w:rPr>
          <w:rFonts w:hint="eastAsia" w:ascii="楷体_GB2312" w:hAnsi="楷体" w:eastAsia="楷体_GB2312"/>
          <w:sz w:val="32"/>
          <w:szCs w:val="32"/>
        </w:rPr>
        <w:t>：13947649109</w:t>
      </w:r>
    </w:p>
    <w:p w14:paraId="3C14E039">
      <w:pPr>
        <w:spacing w:line="560" w:lineRule="exact"/>
        <w:rPr>
          <w:rFonts w:ascii="楷体_GB2312" w:hAnsi="楷体" w:eastAsia="楷体_GB2312"/>
          <w:bCs/>
          <w:spacing w:val="-17"/>
          <w:sz w:val="32"/>
          <w:szCs w:val="32"/>
        </w:rPr>
      </w:pPr>
      <w:r>
        <w:rPr>
          <w:rFonts w:hint="eastAsia" w:ascii="楷体_GB2312" w:hAnsi="楷体" w:eastAsia="楷体_GB2312"/>
          <w:bCs/>
          <w:spacing w:val="-17"/>
          <w:sz w:val="32"/>
          <w:szCs w:val="32"/>
        </w:rPr>
        <w:t>界     别</w:t>
      </w:r>
      <w:r>
        <w:rPr>
          <w:rFonts w:hint="eastAsia" w:ascii="楷体_GB2312" w:hAnsi="楷体" w:eastAsia="楷体_GB2312"/>
          <w:sz w:val="32"/>
          <w:szCs w:val="32"/>
        </w:rPr>
        <w:t>：社会科学</w:t>
      </w:r>
    </w:p>
    <w:p w14:paraId="7677CFAF">
      <w:pPr>
        <w:spacing w:line="560" w:lineRule="exact"/>
        <w:ind w:firstLine="272" w:firstLineChars="62"/>
        <w:jc w:val="center"/>
        <w:rPr>
          <w:rFonts w:ascii="方正小标宋简体" w:hAnsi="仿宋" w:eastAsia="方正小标宋简体"/>
          <w:sz w:val="44"/>
          <w:szCs w:val="44"/>
        </w:rPr>
      </w:pPr>
      <w:r>
        <w:rPr>
          <w:rFonts w:hint="eastAsia" w:ascii="方正小标宋简体" w:hAnsi="仿宋" w:eastAsia="方正小标宋简体"/>
          <w:sz w:val="44"/>
          <w:szCs w:val="44"/>
        </w:rPr>
        <w:t>关于加强老旧小区线缆整治的提案</w:t>
      </w:r>
    </w:p>
    <w:p w14:paraId="49C804D3">
      <w:pPr>
        <w:spacing w:line="560" w:lineRule="exact"/>
        <w:ind w:firstLine="640"/>
        <w:rPr>
          <w:rFonts w:ascii="黑体" w:hAnsi="黑体" w:eastAsia="黑体"/>
          <w:sz w:val="32"/>
          <w:szCs w:val="32"/>
        </w:rPr>
      </w:pPr>
    </w:p>
    <w:p w14:paraId="6F971C35">
      <w:pPr>
        <w:spacing w:line="560" w:lineRule="exact"/>
        <w:ind w:firstLine="640"/>
        <w:rPr>
          <w:rFonts w:ascii="黑体" w:hAnsi="黑体" w:eastAsia="黑体"/>
          <w:sz w:val="32"/>
          <w:szCs w:val="32"/>
        </w:rPr>
      </w:pPr>
      <w:r>
        <w:rPr>
          <w:rFonts w:hint="eastAsia" w:ascii="黑体" w:hAnsi="黑体" w:eastAsia="黑体"/>
          <w:sz w:val="32"/>
          <w:szCs w:val="32"/>
        </w:rPr>
        <w:t>一、基本情况</w:t>
      </w:r>
    </w:p>
    <w:p w14:paraId="7BE49F64">
      <w:pPr>
        <w:spacing w:line="560" w:lineRule="exact"/>
        <w:ind w:firstLine="640"/>
        <w:rPr>
          <w:rFonts w:ascii="仿宋_GB2312" w:hAnsi="仿宋" w:eastAsia="仿宋_GB2312"/>
          <w:sz w:val="32"/>
          <w:szCs w:val="32"/>
        </w:rPr>
      </w:pPr>
      <w:r>
        <w:rPr>
          <w:rFonts w:hint="eastAsia" w:ascii="仿宋_GB2312" w:hAnsi="仿宋" w:eastAsia="仿宋_GB2312"/>
          <w:sz w:val="32"/>
          <w:szCs w:val="32"/>
        </w:rPr>
        <w:t>近年来，城镇老旧小区改造工程，既是满足人民美好生活的需要，又大大提升了我旗城市文明的形象。但在部分老旧小区楼道里、墙体上仍出现线缆低垂松垮凌乱、胡乱附挂、私拉乱接、管线漏损、管线老化、混接等现象线问题。</w:t>
      </w:r>
    </w:p>
    <w:p w14:paraId="2C849FBF">
      <w:pPr>
        <w:spacing w:line="560" w:lineRule="exact"/>
        <w:ind w:firstLine="640"/>
        <w:rPr>
          <w:rFonts w:ascii="黑体" w:hAnsi="黑体" w:eastAsia="黑体"/>
          <w:sz w:val="32"/>
          <w:szCs w:val="32"/>
        </w:rPr>
      </w:pPr>
      <w:r>
        <w:rPr>
          <w:rFonts w:hint="eastAsia" w:ascii="黑体" w:hAnsi="黑体" w:eastAsia="黑体"/>
          <w:sz w:val="32"/>
          <w:szCs w:val="32"/>
        </w:rPr>
        <w:t>二、存在问题</w:t>
      </w:r>
    </w:p>
    <w:p w14:paraId="78B21BDC">
      <w:pPr>
        <w:spacing w:line="560" w:lineRule="exact"/>
        <w:ind w:firstLine="640"/>
        <w:rPr>
          <w:rFonts w:ascii="仿宋_GB2312" w:hAnsi="仿宋" w:eastAsia="仿宋_GB2312"/>
          <w:sz w:val="32"/>
          <w:szCs w:val="32"/>
        </w:rPr>
      </w:pPr>
      <w:r>
        <w:rPr>
          <w:rFonts w:hint="eastAsia" w:ascii="楷体_GB2312" w:hAnsi="仿宋" w:eastAsia="楷体_GB2312"/>
          <w:sz w:val="32"/>
          <w:szCs w:val="32"/>
        </w:rPr>
        <w:t>（一）各种线缆均是明线直接进入小区楼道，不少线缆已经打成结，或拧成一捆缠绕在一起，向四处延伸。</w:t>
      </w:r>
      <w:r>
        <w:rPr>
          <w:rFonts w:hint="eastAsia" w:ascii="仿宋_GB2312" w:hAnsi="仿宋" w:eastAsia="仿宋_GB2312"/>
          <w:sz w:val="32"/>
          <w:szCs w:val="32"/>
        </w:rPr>
        <w:t xml:space="preserve">而随着宽带、有线电视等线路的不断增加，楼道里线缆越来越多，不少线缆攀附在外墙上像蜘蛛网一样，严重影响美观。 </w:t>
      </w:r>
    </w:p>
    <w:p w14:paraId="6336AFD6">
      <w:pPr>
        <w:spacing w:line="560" w:lineRule="exact"/>
        <w:ind w:firstLine="640"/>
        <w:rPr>
          <w:rFonts w:ascii="仿宋_GB2312" w:hAnsi="仿宋" w:eastAsia="仿宋_GB2312"/>
          <w:sz w:val="32"/>
          <w:szCs w:val="32"/>
        </w:rPr>
      </w:pPr>
      <w:r>
        <w:rPr>
          <w:rFonts w:hint="eastAsia" w:ascii="楷体_GB2312" w:hAnsi="仿宋" w:eastAsia="楷体_GB2312"/>
          <w:sz w:val="32"/>
          <w:szCs w:val="32"/>
        </w:rPr>
        <w:t>（二）缺乏准入机制。</w:t>
      </w:r>
      <w:r>
        <w:rPr>
          <w:rFonts w:hint="eastAsia" w:ascii="仿宋_GB2312" w:hAnsi="仿宋" w:eastAsia="仿宋_GB2312"/>
          <w:sz w:val="32"/>
          <w:szCs w:val="32"/>
        </w:rPr>
        <w:t xml:space="preserve">电力、通讯、有线、网络等在安排施工人员进小区进行架线、铺设电缆、设立配线箱柜等过程中没有统一的规范管理；部分居民安全意识低，存在私自乱拉乱接电线、网线的现象。这就导致一些老旧小区楼道或者墙壁上都布满粗细不一、颜色各异的各种线缆，更有部分线缆已垂落到地面，遇刮风下雨天气，极易因漏电引发安全事故，既难看又不安全。 </w:t>
      </w:r>
    </w:p>
    <w:p w14:paraId="7263BCD2">
      <w:pPr>
        <w:spacing w:line="560" w:lineRule="exact"/>
        <w:ind w:firstLine="640"/>
        <w:rPr>
          <w:rFonts w:ascii="仿宋_GB2312" w:hAnsi="仿宋" w:eastAsia="仿宋_GB2312"/>
          <w:sz w:val="32"/>
          <w:szCs w:val="32"/>
        </w:rPr>
      </w:pPr>
      <w:r>
        <w:rPr>
          <w:rFonts w:hint="eastAsia" w:ascii="楷体_GB2312" w:hAnsi="仿宋" w:eastAsia="楷体_GB2312"/>
          <w:sz w:val="32"/>
          <w:szCs w:val="32"/>
        </w:rPr>
        <w:t>（三）管理（监管）主体缺位。</w:t>
      </w:r>
      <w:r>
        <w:rPr>
          <w:rFonts w:hint="eastAsia" w:ascii="仿宋_GB2312" w:hAnsi="仿宋" w:eastAsia="仿宋_GB2312"/>
          <w:sz w:val="32"/>
          <w:szCs w:val="32"/>
        </w:rPr>
        <w:t>线缆涉及多家单位，权属不清，随着多个运营商的商业竞争，在旧线路未处理的基础上又不断增加新的光纤、网线、电缆等。外挂的线缆存在设置不规范、废旧线缆清理不及时、私接线缆无监管、日常监管缺失缺位等问题。 </w:t>
      </w:r>
    </w:p>
    <w:p w14:paraId="7697671C">
      <w:pPr>
        <w:spacing w:line="560" w:lineRule="exact"/>
        <w:ind w:firstLine="640" w:firstLineChars="200"/>
        <w:rPr>
          <w:rFonts w:ascii="黑体" w:hAnsi="黑体" w:eastAsia="黑体"/>
          <w:sz w:val="32"/>
          <w:szCs w:val="32"/>
        </w:rPr>
      </w:pPr>
      <w:r>
        <w:rPr>
          <w:rFonts w:hint="eastAsia" w:ascii="黑体" w:hAnsi="黑体" w:eastAsia="黑体"/>
          <w:sz w:val="32"/>
          <w:szCs w:val="32"/>
        </w:rPr>
        <w:t>三、建议</w:t>
      </w:r>
    </w:p>
    <w:p w14:paraId="2999839F">
      <w:pPr>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（一）认清问题的重要性和普遍。</w:t>
      </w:r>
      <w:r>
        <w:rPr>
          <w:rFonts w:hint="eastAsia" w:ascii="仿宋_GB2312" w:hAnsi="仿宋" w:eastAsia="仿宋_GB2312"/>
          <w:sz w:val="32"/>
          <w:szCs w:val="32"/>
        </w:rPr>
        <w:t>各个街道不可避免都有类似老破小的物业、该问题在全旗范围内具有普遍性。</w:t>
      </w:r>
    </w:p>
    <w:p w14:paraId="509A4405">
      <w:pPr>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（二）制定整治改造标准，统一规范进行。</w:t>
      </w:r>
      <w:r>
        <w:rPr>
          <w:rFonts w:hint="eastAsia" w:ascii="仿宋_GB2312" w:hAnsi="仿宋" w:eastAsia="仿宋_GB2312"/>
          <w:sz w:val="32"/>
          <w:szCs w:val="32"/>
        </w:rPr>
        <w:t>建议对老旧小区内各类管线统一“埋地、入管”，杜绝乱拉乱接现象，拆除废弃多余线缆。安装新网线必须按照规定装入收纳盒，不能随意在楼体外拉线，更不能把多余的线缆挂在楼体外。文明施工，科学布线，后续要有专人定期巡查设施设备并及时进行维修维护，以防安全事故发生。</w:t>
      </w:r>
    </w:p>
    <w:p w14:paraId="3E5767BF">
      <w:pPr>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（三）加强部门协调，建立长效机制。</w:t>
      </w:r>
      <w:r>
        <w:rPr>
          <w:rFonts w:hint="eastAsia" w:ascii="仿宋_GB2312" w:hAnsi="仿宋" w:eastAsia="仿宋_GB2312"/>
          <w:sz w:val="32"/>
          <w:szCs w:val="32"/>
        </w:rPr>
        <w:t>老旧小区的飞线问题涉及面广，是一个系统性工程，需要各部门相互配合、协调，根据各自职责形成合力，对老旧小区的飞线进行整治。统一清理割接或无主的线路，并统一更换设备，确保质量。通信公司在后续增设线缆线路时要严格要求，按照高标准规范化建设。</w:t>
      </w:r>
    </w:p>
    <w:p w14:paraId="2EB94EA6">
      <w:pPr>
        <w:spacing w:line="560" w:lineRule="exact"/>
        <w:ind w:firstLine="640" w:firstLineChars="200"/>
        <w:rPr>
          <w:rFonts w:ascii="仿宋_GB2312" w:hAnsi="仿宋" w:eastAsia="仿宋_GB2312"/>
          <w:sz w:val="32"/>
          <w:szCs w:val="32"/>
        </w:rPr>
      </w:pPr>
    </w:p>
    <w:p w14:paraId="4087D6BC">
      <w:pPr>
        <w:spacing w:line="600" w:lineRule="exact"/>
        <w:rPr>
          <w:rFonts w:ascii="楷体_GB2312" w:hAnsi="楷体" w:eastAsia="楷体_GB2312"/>
          <w:bCs/>
          <w:spacing w:val="-17"/>
          <w:sz w:val="32"/>
          <w:szCs w:val="32"/>
        </w:rPr>
      </w:pPr>
    </w:p>
    <w:p w14:paraId="116C1AFA">
      <w:pPr>
        <w:spacing w:line="600" w:lineRule="exact"/>
        <w:rPr>
          <w:rFonts w:ascii="楷体_GB2312" w:hAnsi="楷体" w:eastAsia="楷体_GB2312"/>
          <w:bCs/>
          <w:spacing w:val="-17"/>
          <w:sz w:val="32"/>
          <w:szCs w:val="32"/>
        </w:rPr>
      </w:pPr>
    </w:p>
    <w:p w14:paraId="6828E9B5">
      <w:pPr>
        <w:spacing w:line="600" w:lineRule="exact"/>
        <w:rPr>
          <w:rFonts w:ascii="楷体_GB2312" w:hAnsi="楷体" w:eastAsia="楷体_GB2312"/>
          <w:bCs/>
          <w:spacing w:val="-17"/>
          <w:sz w:val="32"/>
          <w:szCs w:val="32"/>
        </w:rPr>
      </w:pPr>
    </w:p>
    <w:p w14:paraId="669A97DB">
      <w:pPr>
        <w:spacing w:line="600" w:lineRule="exact"/>
        <w:rPr>
          <w:rFonts w:ascii="楷体_GB2312" w:hAnsi="楷体" w:eastAsia="楷体_GB2312"/>
          <w:bCs/>
          <w:spacing w:val="-17"/>
          <w:sz w:val="32"/>
          <w:szCs w:val="32"/>
        </w:rPr>
      </w:pPr>
      <w:r>
        <w:rPr>
          <w:rFonts w:hint="eastAsia" w:ascii="楷体_GB2312" w:hAnsi="楷体" w:eastAsia="楷体_GB2312"/>
          <w:bCs/>
          <w:spacing w:val="-17"/>
          <w:sz w:val="32"/>
          <w:szCs w:val="32"/>
        </w:rPr>
        <w:t>提案编号：047</w:t>
      </w:r>
    </w:p>
    <w:p w14:paraId="40AE7E6A">
      <w:pPr>
        <w:pStyle w:val="11"/>
        <w:widowControl/>
        <w:shd w:val="clear" w:color="auto" w:fill="FFFFFF"/>
        <w:autoSpaceDE w:val="0"/>
        <w:spacing w:beforeAutospacing="0" w:afterAutospacing="0" w:line="560" w:lineRule="exact"/>
        <w:rPr>
          <w:rFonts w:ascii="楷体_GB2312" w:hAnsi="楷体" w:eastAsia="楷体_GB2312"/>
          <w:bCs/>
          <w:spacing w:val="-17"/>
          <w:sz w:val="32"/>
          <w:szCs w:val="32"/>
        </w:rPr>
      </w:pPr>
      <w:r>
        <w:rPr>
          <w:rFonts w:hint="eastAsia" w:ascii="楷体_GB2312" w:hAnsi="楷体" w:eastAsia="楷体_GB2312"/>
          <w:bCs/>
          <w:spacing w:val="-17"/>
          <w:sz w:val="32"/>
          <w:szCs w:val="32"/>
        </w:rPr>
        <w:t>提案名称：关于加强物业管理、提高物业服务质量的提案</w:t>
      </w:r>
    </w:p>
    <w:p w14:paraId="0D0ED868">
      <w:pPr>
        <w:spacing w:line="600" w:lineRule="exact"/>
        <w:rPr>
          <w:rFonts w:ascii="楷体_GB2312" w:hAnsi="楷体" w:eastAsia="楷体_GB2312"/>
          <w:bCs/>
          <w:spacing w:val="-17"/>
          <w:sz w:val="32"/>
          <w:szCs w:val="32"/>
        </w:rPr>
      </w:pPr>
      <w:r>
        <w:rPr>
          <w:rFonts w:hint="eastAsia" w:ascii="楷体_GB2312" w:hAnsi="楷体" w:eastAsia="楷体_GB2312"/>
          <w:bCs/>
          <w:spacing w:val="-30"/>
          <w:sz w:val="32"/>
          <w:szCs w:val="32"/>
        </w:rPr>
        <w:t>提  案  人</w:t>
      </w:r>
      <w:r>
        <w:rPr>
          <w:rFonts w:hint="eastAsia" w:ascii="楷体_GB2312" w:hAnsi="楷体" w:eastAsia="楷体_GB2312"/>
          <w:sz w:val="32"/>
          <w:szCs w:val="32"/>
        </w:rPr>
        <w:t>：褚佳林</w:t>
      </w:r>
      <w:r>
        <w:rPr>
          <w:rFonts w:hint="eastAsia" w:ascii="楷体_GB2312" w:hAnsi="楷体" w:eastAsia="楷体_GB2312"/>
          <w:bCs/>
          <w:spacing w:val="-17"/>
          <w:sz w:val="32"/>
          <w:szCs w:val="32"/>
        </w:rPr>
        <w:t xml:space="preserve"> </w:t>
      </w:r>
    </w:p>
    <w:p w14:paraId="29385798">
      <w:pPr>
        <w:spacing w:line="600" w:lineRule="exact"/>
        <w:rPr>
          <w:rFonts w:ascii="楷体_GB2312" w:hAnsi="楷体" w:eastAsia="楷体_GB2312"/>
          <w:sz w:val="32"/>
          <w:szCs w:val="32"/>
        </w:rPr>
      </w:pPr>
      <w:r>
        <w:rPr>
          <w:rFonts w:hint="eastAsia" w:ascii="楷体_GB2312" w:hAnsi="楷体" w:eastAsia="楷体_GB2312"/>
          <w:bCs/>
          <w:spacing w:val="-17"/>
          <w:sz w:val="32"/>
          <w:szCs w:val="32"/>
        </w:rPr>
        <w:t>联系方式</w:t>
      </w:r>
      <w:r>
        <w:rPr>
          <w:rFonts w:hint="eastAsia" w:ascii="楷体_GB2312" w:hAnsi="楷体" w:eastAsia="楷体_GB2312"/>
          <w:sz w:val="32"/>
          <w:szCs w:val="32"/>
        </w:rPr>
        <w:t>：13674760868</w:t>
      </w:r>
    </w:p>
    <w:p w14:paraId="38A25A94">
      <w:pPr>
        <w:spacing w:line="600" w:lineRule="exact"/>
        <w:rPr>
          <w:rFonts w:ascii="楷体_GB2312" w:hAnsi="楷体" w:eastAsia="楷体_GB2312"/>
          <w:bCs/>
          <w:spacing w:val="-17"/>
          <w:sz w:val="32"/>
          <w:szCs w:val="32"/>
        </w:rPr>
      </w:pPr>
      <w:r>
        <w:rPr>
          <w:rFonts w:hint="eastAsia" w:ascii="楷体_GB2312" w:hAnsi="楷体" w:eastAsia="楷体_GB2312"/>
          <w:bCs/>
          <w:spacing w:val="-17"/>
          <w:sz w:val="32"/>
          <w:szCs w:val="32"/>
        </w:rPr>
        <w:t>界     别</w:t>
      </w:r>
      <w:r>
        <w:rPr>
          <w:rFonts w:hint="eastAsia" w:ascii="楷体_GB2312" w:hAnsi="楷体" w:eastAsia="楷体_GB2312"/>
          <w:sz w:val="32"/>
          <w:szCs w:val="32"/>
        </w:rPr>
        <w:t>：</w:t>
      </w:r>
      <w:r>
        <w:rPr>
          <w:rFonts w:hint="eastAsia" w:ascii="楷体_GB2312" w:hAnsi="楷体" w:eastAsia="楷体_GB2312"/>
          <w:bCs/>
          <w:spacing w:val="-17"/>
          <w:sz w:val="32"/>
          <w:szCs w:val="32"/>
        </w:rPr>
        <w:t>工商业联合会</w:t>
      </w:r>
    </w:p>
    <w:p w14:paraId="1BB5C3C0">
      <w:pPr>
        <w:widowControl/>
        <w:spacing w:line="432" w:lineRule="auto"/>
        <w:jc w:val="center"/>
        <w:rPr>
          <w:rStyle w:val="31"/>
          <w:rFonts w:ascii="方正小标宋简体" w:hAnsi="宋体" w:eastAsia="方正小标宋简体"/>
          <w:b w:val="0"/>
          <w:color w:val="000000"/>
          <w:kern w:val="0"/>
          <w:sz w:val="44"/>
          <w:szCs w:val="44"/>
        </w:rPr>
      </w:pPr>
      <w:r>
        <w:rPr>
          <w:rStyle w:val="31"/>
          <w:rFonts w:hint="eastAsia" w:ascii="方正小标宋简体" w:hAnsi="宋体" w:eastAsia="方正小标宋简体"/>
          <w:b w:val="0"/>
          <w:color w:val="000000"/>
          <w:kern w:val="0"/>
          <w:sz w:val="44"/>
          <w:szCs w:val="44"/>
        </w:rPr>
        <w:t>关于加强物业管理、提高物业服务质量的</w:t>
      </w:r>
    </w:p>
    <w:p w14:paraId="656BC1FD">
      <w:pPr>
        <w:widowControl/>
        <w:spacing w:line="432" w:lineRule="auto"/>
        <w:jc w:val="center"/>
        <w:rPr>
          <w:rFonts w:ascii="方正小标宋简体" w:hAnsi="楷体" w:eastAsia="方正小标宋简体"/>
          <w:b/>
          <w:color w:val="000000"/>
          <w:kern w:val="0"/>
        </w:rPr>
      </w:pPr>
      <w:r>
        <w:rPr>
          <w:rStyle w:val="31"/>
          <w:rFonts w:hint="eastAsia" w:ascii="方正小标宋简体" w:hAnsi="宋体" w:eastAsia="方正小标宋简体"/>
          <w:b w:val="0"/>
          <w:color w:val="000000"/>
          <w:kern w:val="0"/>
          <w:sz w:val="44"/>
          <w:szCs w:val="44"/>
        </w:rPr>
        <w:t>提案</w:t>
      </w:r>
    </w:p>
    <w:p w14:paraId="19C69F87">
      <w:pPr>
        <w:pStyle w:val="11"/>
        <w:widowControl/>
        <w:spacing w:before="226" w:beforeAutospacing="0" w:after="226" w:afterAutospacing="0" w:line="420" w:lineRule="atLeast"/>
        <w:ind w:firstLine="640" w:firstLineChars="200"/>
        <w:rPr>
          <w:rFonts w:ascii="黑体" w:hAnsi="黑体" w:eastAsia="黑体"/>
          <w:color w:val="000000"/>
          <w:sz w:val="32"/>
          <w:szCs w:val="32"/>
        </w:rPr>
      </w:pPr>
      <w:r>
        <w:rPr>
          <w:rFonts w:hint="eastAsia" w:ascii="黑体" w:hAnsi="黑体" w:eastAsia="黑体"/>
          <w:color w:val="000000"/>
          <w:sz w:val="32"/>
          <w:szCs w:val="32"/>
        </w:rPr>
        <w:t>一、基本情况</w:t>
      </w:r>
    </w:p>
    <w:p w14:paraId="4F036446">
      <w:pPr>
        <w:pStyle w:val="11"/>
        <w:widowControl/>
        <w:shd w:val="clear" w:color="auto" w:fill="FFFFFF"/>
        <w:autoSpaceDE w:val="0"/>
        <w:spacing w:beforeAutospacing="0" w:afterAutospacing="0" w:line="560" w:lineRule="exact"/>
        <w:ind w:firstLine="640" w:firstLineChars="200"/>
        <w:rPr>
          <w:rFonts w:ascii="仿宋_GB2312" w:hAnsi="仿宋" w:eastAsia="仿宋_GB2312"/>
          <w:sz w:val="32"/>
          <w:szCs w:val="32"/>
        </w:rPr>
      </w:pPr>
      <w:r>
        <w:rPr>
          <w:rFonts w:hint="eastAsia" w:ascii="仿宋_GB2312" w:hAnsi="仿宋" w:eastAsia="仿宋_GB2312"/>
          <w:color w:val="555555"/>
          <w:sz w:val="32"/>
          <w:szCs w:val="32"/>
        </w:rPr>
        <w:t>随着我旗城镇化进程的加快，物业管理在城市社区治理中扮演着越来越重要的角色。优质的物业服务不仅能够提升居民的生活质量，还对城市的和谐稳定发展具有重要意义。然而，当前我旗物业管理存在诸多问题，严重影响了我旗城市居民的生活品质。</w:t>
      </w:r>
    </w:p>
    <w:p w14:paraId="704236B3">
      <w:pPr>
        <w:pStyle w:val="11"/>
        <w:widowControl/>
        <w:autoSpaceDE w:val="0"/>
        <w:spacing w:before="226" w:beforeAutospacing="0" w:after="226" w:afterAutospacing="0" w:line="560" w:lineRule="exact"/>
        <w:ind w:firstLine="640" w:firstLineChars="200"/>
        <w:rPr>
          <w:rFonts w:ascii="黑体" w:hAnsi="黑体" w:eastAsia="黑体"/>
          <w:sz w:val="32"/>
          <w:szCs w:val="32"/>
        </w:rPr>
      </w:pPr>
      <w:r>
        <w:rPr>
          <w:rFonts w:hint="eastAsia" w:ascii="黑体" w:hAnsi="黑体" w:eastAsia="黑体"/>
          <w:sz w:val="32"/>
          <w:szCs w:val="32"/>
        </w:rPr>
        <w:t>二、存在问题</w:t>
      </w:r>
    </w:p>
    <w:p w14:paraId="31283B64">
      <w:pPr>
        <w:pStyle w:val="11"/>
        <w:widowControl/>
        <w:shd w:val="clear" w:color="auto" w:fill="FFFFFF"/>
        <w:autoSpaceDE w:val="0"/>
        <w:spacing w:beforeAutospacing="0" w:afterAutospacing="0" w:line="560" w:lineRule="exact"/>
        <w:ind w:firstLine="640" w:firstLineChars="200"/>
        <w:rPr>
          <w:rFonts w:ascii="仿宋_GB2312" w:hAnsi="仿宋" w:eastAsia="仿宋_GB2312"/>
          <w:b/>
          <w:bCs/>
          <w:color w:val="555555"/>
          <w:sz w:val="32"/>
          <w:szCs w:val="32"/>
        </w:rPr>
      </w:pPr>
      <w:r>
        <w:rPr>
          <w:rFonts w:hint="eastAsia" w:ascii="楷体_GB2312" w:hAnsi="仿宋" w:eastAsia="楷体_GB2312"/>
          <w:bCs/>
          <w:color w:val="555555"/>
          <w:sz w:val="32"/>
          <w:szCs w:val="32"/>
        </w:rPr>
        <w:t>（一）服务质量参差不齐。</w:t>
      </w:r>
      <w:r>
        <w:rPr>
          <w:rFonts w:hint="eastAsia" w:ascii="仿宋_GB2312" w:hAnsi="仿宋" w:eastAsia="仿宋_GB2312"/>
          <w:b/>
          <w:bCs/>
          <w:color w:val="555555"/>
          <w:sz w:val="32"/>
          <w:szCs w:val="32"/>
        </w:rPr>
        <w:t>一是</w:t>
      </w:r>
      <w:r>
        <w:rPr>
          <w:rFonts w:hint="eastAsia" w:ascii="仿宋_GB2312" w:hAnsi="仿宋" w:eastAsia="仿宋_GB2312"/>
          <w:color w:val="555555"/>
          <w:sz w:val="32"/>
          <w:szCs w:val="32"/>
        </w:rPr>
        <w:t>部分物业企业缺乏专业的管理人才和服务人员，员工培训不足，导致在安保、保洁、维修等服务环节存在漏洞。例如，安保人员责任心不强，对进出小区的人员和车辆登记管理不严格，存在安全隐患；保洁人员清洁不及时、不彻底，影响小区环境卫生：维修人员不专业、服务不及时，给业主和物业企业造成双重损失。</w:t>
      </w:r>
    </w:p>
    <w:p w14:paraId="02DC167E">
      <w:pPr>
        <w:pStyle w:val="11"/>
        <w:widowControl/>
        <w:shd w:val="clear" w:color="auto" w:fill="FFFFFF"/>
        <w:autoSpaceDE w:val="0"/>
        <w:spacing w:beforeAutospacing="0" w:afterAutospacing="0" w:line="560" w:lineRule="exact"/>
        <w:ind w:firstLine="643" w:firstLineChars="200"/>
        <w:rPr>
          <w:rFonts w:ascii="仿宋_GB2312" w:hAnsi="仿宋" w:eastAsia="仿宋_GB2312"/>
          <w:color w:val="555555"/>
          <w:sz w:val="32"/>
          <w:szCs w:val="32"/>
        </w:rPr>
      </w:pPr>
      <w:r>
        <w:rPr>
          <w:rFonts w:hint="eastAsia" w:ascii="仿宋_GB2312" w:hAnsi="仿宋" w:eastAsia="仿宋_GB2312"/>
          <w:b/>
          <w:color w:val="555555"/>
          <w:sz w:val="32"/>
          <w:szCs w:val="32"/>
        </w:rPr>
        <w:t>二是</w:t>
      </w:r>
      <w:r>
        <w:rPr>
          <w:rFonts w:hint="eastAsia" w:ascii="仿宋_GB2312" w:hAnsi="仿宋" w:eastAsia="仿宋_GB2312"/>
          <w:color w:val="555555"/>
          <w:sz w:val="32"/>
          <w:szCs w:val="32"/>
        </w:rPr>
        <w:t>物业服务标准不统一，不同小区、不同物业企业之间的服务质量差异较大。一些老旧小区的物业服务水平远远低于新建商品房小区。</w:t>
      </w:r>
    </w:p>
    <w:p w14:paraId="568FE49A">
      <w:pPr>
        <w:pStyle w:val="11"/>
        <w:widowControl/>
        <w:shd w:val="clear" w:color="auto" w:fill="FFFFFF"/>
        <w:autoSpaceDE w:val="0"/>
        <w:spacing w:beforeAutospacing="0" w:afterAutospacing="0" w:line="560" w:lineRule="exact"/>
        <w:ind w:firstLine="640" w:firstLineChars="200"/>
        <w:rPr>
          <w:rFonts w:ascii="仿宋_GB2312" w:hAnsi="仿宋" w:eastAsia="仿宋_GB2312"/>
          <w:b/>
          <w:bCs/>
          <w:color w:val="555555"/>
          <w:sz w:val="32"/>
          <w:szCs w:val="32"/>
        </w:rPr>
      </w:pPr>
      <w:r>
        <w:rPr>
          <w:rFonts w:hint="eastAsia" w:ascii="楷体_GB2312" w:hAnsi="仿宋" w:eastAsia="楷体_GB2312"/>
          <w:bCs/>
          <w:color w:val="555555"/>
          <w:sz w:val="32"/>
          <w:szCs w:val="32"/>
        </w:rPr>
        <w:t>（二）物业服务企业与业主沟通不畅。</w:t>
      </w:r>
      <w:r>
        <w:rPr>
          <w:rFonts w:hint="eastAsia" w:ascii="仿宋_GB2312" w:hAnsi="仿宋" w:eastAsia="仿宋_GB2312"/>
          <w:b/>
          <w:bCs/>
          <w:color w:val="555555"/>
          <w:sz w:val="32"/>
          <w:szCs w:val="32"/>
        </w:rPr>
        <w:t>一是</w:t>
      </w:r>
      <w:r>
        <w:rPr>
          <w:rFonts w:hint="eastAsia" w:ascii="仿宋_GB2312" w:hAnsi="仿宋" w:eastAsia="仿宋_GB2312"/>
          <w:color w:val="555555"/>
          <w:sz w:val="32"/>
          <w:szCs w:val="32"/>
        </w:rPr>
        <w:t>物业服务企业往往不能及时了解业主的需求和意见。对于业主反馈的问题，如房屋渗漏、电梯故障等维修不及时，处理结果也不能及时反馈给业主。</w:t>
      </w:r>
      <w:r>
        <w:rPr>
          <w:rFonts w:hint="eastAsia" w:ascii="仿宋_GB2312" w:hAnsi="仿宋" w:eastAsia="仿宋_GB2312"/>
          <w:b/>
          <w:bCs/>
          <w:color w:val="555555"/>
          <w:sz w:val="32"/>
          <w:szCs w:val="32"/>
        </w:rPr>
        <w:t>二是</w:t>
      </w:r>
      <w:r>
        <w:rPr>
          <w:rFonts w:hint="eastAsia" w:ascii="仿宋_GB2312" w:hAnsi="仿宋" w:eastAsia="仿宋_GB2312"/>
          <w:color w:val="555555"/>
          <w:sz w:val="32"/>
          <w:szCs w:val="32"/>
        </w:rPr>
        <w:t>缺乏有效的沟通平台和机制，业主与物业之间容易产生矛盾和纠纷。一些业主因为对物业服务不满而拒绝缴纳物业费，进一步加剧了双方的矛盾。</w:t>
      </w:r>
    </w:p>
    <w:p w14:paraId="50EA4D1F">
      <w:pPr>
        <w:pStyle w:val="11"/>
        <w:widowControl/>
        <w:shd w:val="clear" w:color="auto" w:fill="FFFFFF"/>
        <w:autoSpaceDE w:val="0"/>
        <w:spacing w:beforeAutospacing="0" w:afterAutospacing="0" w:line="560" w:lineRule="exact"/>
        <w:ind w:firstLine="640" w:firstLineChars="200"/>
        <w:rPr>
          <w:rFonts w:ascii="仿宋_GB2312" w:hAnsi="仿宋" w:eastAsia="仿宋_GB2312"/>
          <w:b/>
          <w:bCs/>
          <w:color w:val="555555"/>
          <w:sz w:val="32"/>
          <w:szCs w:val="32"/>
        </w:rPr>
      </w:pPr>
      <w:r>
        <w:rPr>
          <w:rFonts w:hint="eastAsia" w:ascii="楷体_GB2312" w:hAnsi="仿宋" w:eastAsia="楷体_GB2312"/>
          <w:bCs/>
          <w:color w:val="555555"/>
          <w:sz w:val="32"/>
          <w:szCs w:val="32"/>
        </w:rPr>
        <w:t>（三）物业管理相关法律法规不完善。</w:t>
      </w:r>
      <w:r>
        <w:rPr>
          <w:rFonts w:hint="eastAsia" w:ascii="仿宋_GB2312" w:hAnsi="仿宋" w:eastAsia="仿宋_GB2312"/>
          <w:b/>
          <w:bCs/>
          <w:color w:val="555555"/>
          <w:sz w:val="32"/>
          <w:szCs w:val="32"/>
        </w:rPr>
        <w:t>一是</w:t>
      </w:r>
      <w:r>
        <w:rPr>
          <w:rFonts w:hint="eastAsia" w:ascii="仿宋_GB2312" w:hAnsi="仿宋" w:eastAsia="仿宋_GB2312"/>
          <w:color w:val="555555"/>
          <w:sz w:val="32"/>
          <w:szCs w:val="32"/>
        </w:rPr>
        <w:t>现行法律法规对物业管理中的一些关键问题规定不够明确。例如，物业费用的定价机制不够灵活，地区的物业收费标准多年未调整，不能反映市场成本变化和服务质量的差异。</w:t>
      </w:r>
      <w:r>
        <w:rPr>
          <w:rFonts w:hint="eastAsia" w:ascii="仿宋_GB2312" w:hAnsi="仿宋" w:eastAsia="仿宋_GB2312"/>
          <w:b/>
          <w:bCs/>
          <w:color w:val="555555"/>
          <w:sz w:val="32"/>
          <w:szCs w:val="32"/>
        </w:rPr>
        <w:t>二是</w:t>
      </w:r>
      <w:r>
        <w:rPr>
          <w:rFonts w:hint="eastAsia" w:ascii="仿宋_GB2312" w:hAnsi="仿宋" w:eastAsia="仿宋_GB2312"/>
          <w:color w:val="555555"/>
          <w:sz w:val="32"/>
          <w:szCs w:val="32"/>
        </w:rPr>
        <w:t>对于物业服务企业的监管力度不足，对于违规行为的处罚措施力度不够，不能有效约束物业企业的行为。</w:t>
      </w:r>
    </w:p>
    <w:p w14:paraId="05BA6E77">
      <w:pPr>
        <w:pStyle w:val="11"/>
        <w:widowControl/>
        <w:shd w:val="clear" w:color="auto" w:fill="FFFFFF"/>
        <w:spacing w:before="300" w:beforeAutospacing="0" w:afterAutospacing="0" w:line="375" w:lineRule="atLeast"/>
        <w:ind w:firstLine="640" w:firstLineChars="200"/>
        <w:rPr>
          <w:rFonts w:ascii="微软雅黑" w:hAnsi="微软雅黑" w:eastAsia="微软雅黑"/>
          <w:color w:val="414141"/>
          <w:sz w:val="27"/>
          <w:szCs w:val="27"/>
          <w:shd w:val="clear" w:color="auto" w:fill="FFFFFF"/>
        </w:rPr>
      </w:pPr>
      <w:r>
        <w:rPr>
          <w:rFonts w:hint="eastAsia" w:ascii="黑体" w:hAnsi="黑体" w:eastAsia="黑体"/>
          <w:color w:val="000000"/>
          <w:sz w:val="32"/>
          <w:szCs w:val="32"/>
        </w:rPr>
        <w:t>三、建议</w:t>
      </w:r>
      <w:r>
        <w:rPr>
          <w:rFonts w:hint="eastAsia" w:ascii="微软雅黑" w:hAnsi="微软雅黑" w:eastAsia="微软雅黑"/>
          <w:color w:val="414141"/>
          <w:sz w:val="27"/>
          <w:szCs w:val="27"/>
          <w:shd w:val="clear" w:color="auto" w:fill="FFFFFF"/>
        </w:rPr>
        <w:t xml:space="preserve"> </w:t>
      </w:r>
    </w:p>
    <w:p w14:paraId="28D6C241">
      <w:pPr>
        <w:autoSpaceDE w:val="0"/>
        <w:spacing w:line="560" w:lineRule="exact"/>
        <w:ind w:firstLine="640" w:firstLineChars="200"/>
        <w:rPr>
          <w:rFonts w:ascii="仿宋_GB2312" w:hAnsi="仿宋" w:eastAsia="仿宋_GB2312"/>
          <w:sz w:val="32"/>
          <w:szCs w:val="32"/>
          <w:shd w:val="clear" w:color="auto" w:fill="FFFFFF"/>
        </w:rPr>
      </w:pPr>
      <w:r>
        <w:rPr>
          <w:rFonts w:hint="eastAsia" w:ascii="楷体_GB2312" w:hAnsi="仿宋" w:eastAsia="楷体_GB2312"/>
          <w:bCs/>
          <w:sz w:val="32"/>
          <w:szCs w:val="32"/>
          <w:shd w:val="clear" w:color="auto" w:fill="FFFFFF"/>
        </w:rPr>
        <w:t>（一）加强物业从业人员培训与管理</w:t>
      </w:r>
      <w:r>
        <w:rPr>
          <w:rFonts w:hint="eastAsia" w:ascii="楷体_GB2312" w:hAnsi="仿宋" w:eastAsia="楷体_GB2312"/>
          <w:sz w:val="32"/>
          <w:szCs w:val="32"/>
          <w:shd w:val="clear" w:color="auto" w:fill="FFFFFF"/>
        </w:rPr>
        <w:t>。</w:t>
      </w:r>
      <w:r>
        <w:rPr>
          <w:rFonts w:hint="eastAsia" w:ascii="仿宋_GB2312" w:hAnsi="仿宋" w:eastAsia="仿宋_GB2312"/>
          <w:b/>
          <w:sz w:val="32"/>
          <w:szCs w:val="32"/>
          <w:shd w:val="clear" w:color="auto" w:fill="FFFFFF"/>
        </w:rPr>
        <w:t>一是</w:t>
      </w:r>
      <w:r>
        <w:rPr>
          <w:rFonts w:hint="eastAsia" w:ascii="仿宋_GB2312" w:hAnsi="仿宋" w:eastAsia="仿宋_GB2312"/>
          <w:sz w:val="32"/>
          <w:szCs w:val="32"/>
          <w:shd w:val="clear" w:color="auto" w:fill="FFFFFF"/>
        </w:rPr>
        <w:t>建立物业从业人员资格认证制度，要求从业人员必须经过专业培训并取得相应资格证书后才能上岗。培训内容应包括物业管理基本理论、服务技能、职业道德等方面。</w:t>
      </w:r>
      <w:r>
        <w:rPr>
          <w:rFonts w:hint="eastAsia" w:ascii="仿宋_GB2312" w:hAnsi="仿宋" w:eastAsia="仿宋_GB2312"/>
          <w:b/>
          <w:sz w:val="32"/>
          <w:szCs w:val="32"/>
          <w:shd w:val="clear" w:color="auto" w:fill="FFFFFF"/>
        </w:rPr>
        <w:t>二是</w:t>
      </w:r>
      <w:r>
        <w:rPr>
          <w:rFonts w:hint="eastAsia" w:ascii="仿宋_GB2312" w:hAnsi="仿宋" w:eastAsia="仿宋_GB2312"/>
          <w:sz w:val="32"/>
          <w:szCs w:val="32"/>
          <w:shd w:val="clear" w:color="auto" w:fill="FFFFFF"/>
        </w:rPr>
        <w:t>鼓励物业企业提高员工待遇，吸引高素质人才加入物业管理行业。同时，行业主管部门应定期组织物业企业的服务质量评比活动，对表现优秀的员工和物业企业进行表彰和奖励，对存在问题的进行督促整改。</w:t>
      </w:r>
    </w:p>
    <w:p w14:paraId="69229C8E">
      <w:pPr>
        <w:autoSpaceDE w:val="0"/>
        <w:spacing w:line="560" w:lineRule="exact"/>
        <w:ind w:firstLine="640" w:firstLineChars="200"/>
        <w:rPr>
          <w:rFonts w:ascii="仿宋_GB2312" w:hAnsi="仿宋" w:eastAsia="仿宋_GB2312"/>
          <w:bCs/>
          <w:sz w:val="32"/>
          <w:szCs w:val="32"/>
          <w:shd w:val="clear" w:color="auto" w:fill="FFFFFF"/>
        </w:rPr>
      </w:pPr>
      <w:r>
        <w:rPr>
          <w:rFonts w:hint="eastAsia" w:ascii="楷体_GB2312" w:hAnsi="仿宋" w:eastAsia="楷体_GB2312"/>
          <w:bCs/>
          <w:sz w:val="32"/>
          <w:szCs w:val="32"/>
          <w:shd w:val="clear" w:color="auto" w:fill="FFFFFF"/>
        </w:rPr>
        <w:t>（二)建立健全沟通机制。</w:t>
      </w:r>
      <w:r>
        <w:rPr>
          <w:rFonts w:hint="eastAsia" w:ascii="仿宋_GB2312" w:hAnsi="仿宋" w:eastAsia="仿宋_GB2312"/>
          <w:b/>
          <w:bCs/>
          <w:sz w:val="32"/>
          <w:szCs w:val="32"/>
          <w:shd w:val="clear" w:color="auto" w:fill="FFFFFF"/>
        </w:rPr>
        <w:t>一是</w:t>
      </w:r>
      <w:r>
        <w:rPr>
          <w:rFonts w:hint="eastAsia" w:ascii="仿宋_GB2312" w:hAnsi="仿宋" w:eastAsia="仿宋_GB2312"/>
          <w:sz w:val="32"/>
          <w:szCs w:val="32"/>
          <w:shd w:val="clear" w:color="auto" w:fill="FFFFFF"/>
        </w:rPr>
        <w:t>物业服务企业应设立专门的业主投诉处理部门，建立24小时投诉热线或在线客服平台，确保业主的诉求能够及时得到受理。</w:t>
      </w:r>
      <w:r>
        <w:rPr>
          <w:rFonts w:hint="eastAsia" w:ascii="仿宋_GB2312" w:hAnsi="仿宋" w:eastAsia="仿宋_GB2312"/>
          <w:b/>
          <w:bCs/>
          <w:sz w:val="32"/>
          <w:szCs w:val="32"/>
          <w:shd w:val="clear" w:color="auto" w:fill="FFFFFF"/>
        </w:rPr>
        <w:t>二是</w:t>
      </w:r>
      <w:r>
        <w:rPr>
          <w:rFonts w:hint="eastAsia" w:ascii="仿宋_GB2312" w:hAnsi="仿宋" w:eastAsia="仿宋_GB2312"/>
          <w:sz w:val="32"/>
          <w:szCs w:val="32"/>
          <w:shd w:val="clear" w:color="auto" w:fill="FFFFFF"/>
        </w:rPr>
        <w:t>定期召开业主代表大会或开展社区活动，由物业企业向业主汇报工作情况，听取业主的意见和建议。同时，社区居委会应积极参与协调业主与物业之间的关系，促进双方的理解与合作。</w:t>
      </w:r>
    </w:p>
    <w:p w14:paraId="0D13F311">
      <w:pPr>
        <w:autoSpaceDE w:val="0"/>
        <w:spacing w:line="560" w:lineRule="exact"/>
        <w:ind w:firstLine="640" w:firstLineChars="200"/>
        <w:rPr>
          <w:rFonts w:ascii="仿宋_GB2312" w:hAnsi="仿宋" w:eastAsia="仿宋_GB2312"/>
          <w:sz w:val="32"/>
          <w:szCs w:val="32"/>
          <w:shd w:val="clear" w:color="auto" w:fill="FFFFFF"/>
        </w:rPr>
      </w:pPr>
      <w:r>
        <w:rPr>
          <w:rFonts w:hint="eastAsia" w:ascii="楷体_GB2312" w:hAnsi="仿宋" w:eastAsia="楷体_GB2312"/>
          <w:bCs/>
          <w:sz w:val="32"/>
          <w:szCs w:val="32"/>
          <w:shd w:val="clear" w:color="auto" w:fill="FFFFFF"/>
        </w:rPr>
        <w:t>（三）完善物业管理法律法规</w:t>
      </w:r>
      <w:r>
        <w:rPr>
          <w:rFonts w:hint="eastAsia" w:ascii="楷体_GB2312" w:hAnsi="仿宋" w:eastAsia="楷体_GB2312"/>
          <w:sz w:val="32"/>
          <w:szCs w:val="32"/>
          <w:shd w:val="clear" w:color="auto" w:fill="FFFFFF"/>
        </w:rPr>
        <w:t>。</w:t>
      </w:r>
      <w:r>
        <w:rPr>
          <w:rFonts w:hint="eastAsia" w:ascii="仿宋_GB2312" w:hAnsi="仿宋" w:eastAsia="仿宋_GB2312"/>
          <w:b/>
          <w:sz w:val="32"/>
          <w:szCs w:val="32"/>
          <w:shd w:val="clear" w:color="auto" w:fill="FFFFFF"/>
        </w:rPr>
        <w:t>一是</w:t>
      </w:r>
      <w:r>
        <w:rPr>
          <w:rFonts w:hint="eastAsia" w:ascii="仿宋_GB2312" w:hAnsi="仿宋" w:eastAsia="仿宋_GB2312"/>
          <w:sz w:val="32"/>
          <w:szCs w:val="32"/>
          <w:shd w:val="clear" w:color="auto" w:fill="FFFFFF"/>
        </w:rPr>
        <w:t>进一步完善物业管理相关法律法规，明确物业费用的市场定价原则，充分考虑服务成本、服务质量和服务对象等因素。根据不同类型的小区和物业服务等级制定合理的收费标准。</w:t>
      </w:r>
      <w:r>
        <w:rPr>
          <w:rFonts w:hint="eastAsia" w:ascii="仿宋_GB2312" w:hAnsi="仿宋" w:eastAsia="仿宋_GB2312"/>
          <w:b/>
          <w:sz w:val="32"/>
          <w:szCs w:val="32"/>
          <w:shd w:val="clear" w:color="auto" w:fill="FFFFFF"/>
        </w:rPr>
        <w:t>二是</w:t>
      </w:r>
      <w:r>
        <w:rPr>
          <w:rFonts w:hint="eastAsia" w:ascii="仿宋_GB2312" w:hAnsi="仿宋" w:eastAsia="仿宋_GB2312"/>
          <w:sz w:val="32"/>
          <w:szCs w:val="32"/>
          <w:shd w:val="clear" w:color="auto" w:fill="FFFFFF"/>
        </w:rPr>
        <w:t>加强对物业服务企业的监管，建立健全物业企业信用评价体系，将物业企业的经营行为、服务质量、业主满意度等纳入评价指标。对信用等级低的物业企业进行限制经营或驱逐出市场的处罚措施。</w:t>
      </w:r>
    </w:p>
    <w:p w14:paraId="0FD8257C">
      <w:pPr>
        <w:autoSpaceDE w:val="0"/>
        <w:spacing w:line="560" w:lineRule="exact"/>
        <w:ind w:firstLine="640" w:firstLineChars="200"/>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 xml:space="preserve"> </w:t>
      </w:r>
      <w:r>
        <w:rPr>
          <w:rFonts w:hint="eastAsia" w:ascii="仿宋_GB2312" w:hAnsi="仿宋" w:eastAsia="仿宋_GB2312"/>
          <w:color w:val="414141"/>
          <w:sz w:val="32"/>
          <w:szCs w:val="32"/>
          <w:shd w:val="clear" w:color="auto" w:fill="FFFFFF"/>
        </w:rPr>
        <w:t>通过以上措施的实施，能够有效提升物业管理水平，提高物业服务质量。物业从业人员素质的提高将直接改善服务环节的漏洞；良好的沟通机制能够减少业主与物业之间的矛盾纠纷，提高业主满意度；完善法律法规将为物业管理提供更加规范的制度保障，促进物业管理行业的健康有序发展。这将有助于打造和谐、舒适、安全的居住环境，提升我旗城市居民的生活品质。</w:t>
      </w:r>
    </w:p>
    <w:p w14:paraId="6D53A978"/>
    <w:p w14:paraId="1E629A43">
      <w:pPr>
        <w:rPr>
          <w:rFonts w:ascii="楷体_GB2312" w:hAnsi="楷体_GB2312" w:eastAsia="楷体_GB2312" w:cs="楷体_GB2312"/>
          <w:sz w:val="32"/>
          <w:szCs w:val="32"/>
        </w:rPr>
      </w:pPr>
    </w:p>
    <w:p w14:paraId="51B05B2D">
      <w:pPr>
        <w:rPr>
          <w:rFonts w:ascii="楷体_GB2312" w:hAnsi="楷体_GB2312" w:eastAsia="楷体_GB2312" w:cs="楷体_GB2312"/>
          <w:sz w:val="32"/>
          <w:szCs w:val="32"/>
        </w:rPr>
      </w:pPr>
    </w:p>
    <w:p w14:paraId="08DE4354">
      <w:pPr>
        <w:rPr>
          <w:rFonts w:ascii="楷体_GB2312" w:hAnsi="楷体_GB2312" w:eastAsia="楷体_GB2312" w:cs="楷体_GB2312"/>
          <w:sz w:val="32"/>
          <w:szCs w:val="32"/>
        </w:rPr>
      </w:pPr>
    </w:p>
    <w:p w14:paraId="2E977700">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提案编号:048</w:t>
      </w:r>
    </w:p>
    <w:p w14:paraId="5942C9A1">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提案名称:</w:t>
      </w:r>
      <w:r>
        <w:rPr>
          <w:rFonts w:hint="eastAsia" w:ascii="楷体_GB2312" w:hAnsi="宋体" w:eastAsia="楷体_GB2312" w:cs="宋体"/>
          <w:sz w:val="32"/>
          <w:szCs w:val="32"/>
        </w:rPr>
        <w:t>关于加强中小学生视力保护工作的提案</w:t>
      </w:r>
    </w:p>
    <w:p w14:paraId="47C00F8E">
      <w:pPr>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 王军  张悦丽</w:t>
      </w:r>
    </w:p>
    <w:p w14:paraId="7355AFF6">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w:t>
      </w:r>
      <w:r>
        <w:rPr>
          <w:rFonts w:ascii="楷体_GB2312" w:hAnsi="楷体_GB2312" w:eastAsia="楷体_GB2312" w:cs="楷体_GB2312"/>
          <w:sz w:val="32"/>
          <w:szCs w:val="32"/>
        </w:rPr>
        <w:t>13847961596</w:t>
      </w:r>
      <w:r>
        <w:rPr>
          <w:rFonts w:hint="eastAsia" w:ascii="楷体_GB2312" w:hAnsi="楷体_GB2312" w:eastAsia="楷体_GB2312" w:cs="楷体_GB2312"/>
          <w:sz w:val="32"/>
          <w:szCs w:val="32"/>
        </w:rPr>
        <w:t xml:space="preserve">  </w:t>
      </w:r>
      <w:r>
        <w:rPr>
          <w:rFonts w:ascii="楷体_GB2312" w:hAnsi="楷体_GB2312" w:eastAsia="楷体_GB2312" w:cs="楷体_GB2312"/>
          <w:sz w:val="32"/>
          <w:szCs w:val="32"/>
        </w:rPr>
        <w:t>13404866664</w:t>
      </w:r>
    </w:p>
    <w:p w14:paraId="51AFBEA2">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别:社会保障和社会福利</w:t>
      </w:r>
    </w:p>
    <w:p w14:paraId="7B7B159C">
      <w:pPr>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关于加强中小学生视力保护工作的提案</w:t>
      </w:r>
    </w:p>
    <w:p w14:paraId="1B3A8ECA">
      <w:pPr>
        <w:ind w:firstLine="640" w:firstLineChars="200"/>
        <w:rPr>
          <w:rFonts w:ascii="仿宋" w:hAnsi="仿宋" w:eastAsia="仿宋" w:cs="仿宋"/>
          <w:sz w:val="32"/>
          <w:szCs w:val="32"/>
        </w:rPr>
      </w:pPr>
    </w:p>
    <w:p w14:paraId="45EF9D1D">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近年来，中小学生近视眼越来越多。视力不佳，会给孩子们的学习和生活带来诸多不便，严重影响到孩子的心身健康。引起中小学生近视的原因很多，与过早过多接触电子产品、不良用眼习惯、学习环境和先天因素等息息相关。</w:t>
      </w:r>
    </w:p>
    <w:p w14:paraId="1550B067">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爱眼护眼应从小抓起，从早抓起，中小学生视力健康关乎孩子们身心健康，关乎教育未来，应引起全社会的重视和关注。</w:t>
      </w:r>
    </w:p>
    <w:p w14:paraId="7F5A17F1">
      <w:pPr>
        <w:rPr>
          <w:rFonts w:ascii="黑体" w:hAnsi="黑体" w:eastAsia="黑体" w:cs="仿宋"/>
          <w:sz w:val="32"/>
          <w:szCs w:val="32"/>
        </w:rPr>
      </w:pPr>
      <w:r>
        <w:rPr>
          <w:rFonts w:hint="eastAsia" w:ascii="黑体" w:hAnsi="黑体" w:eastAsia="黑体" w:cs="仿宋"/>
          <w:b/>
          <w:bCs/>
          <w:sz w:val="32"/>
          <w:szCs w:val="32"/>
        </w:rPr>
        <w:t>一、建议</w:t>
      </w:r>
    </w:p>
    <w:p w14:paraId="00059ACE">
      <w:pPr>
        <w:ind w:firstLine="640" w:firstLineChars="200"/>
        <w:rPr>
          <w:rFonts w:ascii="仿宋_GB2312" w:hAnsi="仿宋" w:eastAsia="仿宋_GB2312" w:cs="仿宋"/>
          <w:sz w:val="32"/>
          <w:szCs w:val="32"/>
        </w:rPr>
      </w:pPr>
      <w:r>
        <w:rPr>
          <w:rFonts w:hint="eastAsia" w:ascii="楷体_GB2312" w:hAnsi="仿宋" w:eastAsia="楷体_GB2312" w:cs="仿宋"/>
          <w:sz w:val="32"/>
          <w:szCs w:val="32"/>
        </w:rPr>
        <w:t>（一）家长和学前班老师加强护眼早期教育。</w:t>
      </w:r>
      <w:r>
        <w:rPr>
          <w:rFonts w:hint="eastAsia" w:ascii="仿宋_GB2312" w:hAnsi="仿宋" w:eastAsia="仿宋_GB2312" w:cs="仿宋"/>
          <w:sz w:val="32"/>
          <w:szCs w:val="32"/>
        </w:rPr>
        <w:t>让孩子从小树立起护眼意识，从小自觉保护好眼睛，保护好视力。</w:t>
      </w:r>
    </w:p>
    <w:p w14:paraId="48251422">
      <w:pPr>
        <w:ind w:firstLine="640" w:firstLineChars="200"/>
        <w:rPr>
          <w:rFonts w:ascii="仿宋_GB2312" w:hAnsi="仿宋" w:eastAsia="仿宋_GB2312" w:cs="仿宋"/>
          <w:sz w:val="32"/>
          <w:szCs w:val="32"/>
        </w:rPr>
      </w:pPr>
      <w:r>
        <w:rPr>
          <w:rFonts w:hint="eastAsia" w:ascii="楷体_GB2312" w:hAnsi="仿宋" w:eastAsia="楷体_GB2312" w:cs="仿宋"/>
          <w:sz w:val="32"/>
          <w:szCs w:val="32"/>
        </w:rPr>
        <w:t>（二）教育主管部门要督促学校改善教学设施和条件。</w:t>
      </w:r>
      <w:r>
        <w:rPr>
          <w:rFonts w:hint="eastAsia" w:ascii="仿宋_GB2312" w:hAnsi="仿宋" w:eastAsia="仿宋_GB2312" w:cs="仿宋"/>
          <w:sz w:val="32"/>
          <w:szCs w:val="32"/>
        </w:rPr>
        <w:t>宣传爱眼护眼知识，指导督促学生保持正确的读写姿势，及时纠正学生不良的用眼习惯；鼓励学生多参与体育锻炼和户外活动，保证校内体育活动时间，杜绝挤占体育课的现象；适当延长课间休息时间，引导学生走出教室开展远眺活动。</w:t>
      </w:r>
    </w:p>
    <w:p w14:paraId="7F8EF2D3">
      <w:pPr>
        <w:ind w:firstLine="640" w:firstLineChars="200"/>
        <w:rPr>
          <w:rFonts w:ascii="仿宋_GB2312" w:hAnsi="仿宋" w:eastAsia="仿宋_GB2312" w:cs="仿宋"/>
          <w:sz w:val="32"/>
          <w:szCs w:val="32"/>
        </w:rPr>
      </w:pPr>
      <w:r>
        <w:rPr>
          <w:rFonts w:hint="eastAsia" w:ascii="楷体_GB2312" w:hAnsi="仿宋" w:eastAsia="楷体_GB2312" w:cs="仿宋"/>
          <w:sz w:val="32"/>
          <w:szCs w:val="32"/>
        </w:rPr>
        <w:t>（三）教育、卫健部门联合建立儿童、青少年视力定期普查制度。</w:t>
      </w:r>
      <w:r>
        <w:rPr>
          <w:rFonts w:hint="eastAsia" w:ascii="仿宋_GB2312" w:hAnsi="仿宋" w:eastAsia="仿宋_GB2312" w:cs="仿宋"/>
          <w:sz w:val="32"/>
          <w:szCs w:val="32"/>
        </w:rPr>
        <w:t>及早发现视力异常的儿童、青少年，采取综合有效措施，通过早期干预，遏制儿童、青少年近视问题上升势头。加强近视防控宣教工作，让爱眼护眼知识进学校、进社区、进家庭，引导家长如何正确对待孩子的视力问题，避免不正确的矫治方法导致近视程度加重。</w:t>
      </w:r>
    </w:p>
    <w:p w14:paraId="1EFD114E">
      <w:pPr>
        <w:ind w:firstLine="640" w:firstLineChars="200"/>
        <w:rPr>
          <w:rFonts w:ascii="仿宋_GB2312" w:hAnsi="仿宋" w:eastAsia="仿宋_GB2312" w:cs="仿宋"/>
          <w:sz w:val="32"/>
          <w:szCs w:val="32"/>
        </w:rPr>
      </w:pPr>
      <w:r>
        <w:rPr>
          <w:rFonts w:hint="eastAsia" w:ascii="楷体_GB2312" w:hAnsi="仿宋" w:eastAsia="楷体_GB2312" w:cs="仿宋"/>
          <w:sz w:val="32"/>
          <w:szCs w:val="32"/>
        </w:rPr>
        <w:t>（四）使用手机上网玩游戏是影响孩子视力的主要因素之一。</w:t>
      </w:r>
      <w:r>
        <w:rPr>
          <w:rFonts w:hint="eastAsia" w:ascii="仿宋_GB2312" w:hAnsi="仿宋" w:eastAsia="仿宋_GB2312" w:cs="仿宋"/>
          <w:sz w:val="32"/>
          <w:szCs w:val="32"/>
        </w:rPr>
        <w:t>建议限制或关闭影响青少年心身健康的网络游戏。</w:t>
      </w:r>
    </w:p>
    <w:p w14:paraId="19FBC1E6">
      <w:pPr>
        <w:ind w:firstLine="640" w:firstLineChars="200"/>
        <w:rPr>
          <w:rFonts w:ascii="仿宋" w:hAnsi="仿宋" w:eastAsia="仿宋" w:cs="仿宋"/>
          <w:sz w:val="32"/>
          <w:szCs w:val="32"/>
        </w:rPr>
      </w:pPr>
    </w:p>
    <w:p w14:paraId="5E09EC85">
      <w:pPr>
        <w:ind w:firstLine="640" w:firstLineChars="200"/>
        <w:rPr>
          <w:rFonts w:ascii="仿宋" w:hAnsi="仿宋" w:eastAsia="仿宋" w:cs="仿宋"/>
          <w:sz w:val="32"/>
          <w:szCs w:val="32"/>
        </w:rPr>
      </w:pPr>
    </w:p>
    <w:p w14:paraId="3B67A15E">
      <w:pPr>
        <w:spacing w:line="500" w:lineRule="exact"/>
        <w:rPr>
          <w:rFonts w:ascii="楷体_GB2312" w:hAnsi="楷体" w:eastAsia="楷体_GB2312" w:cs="楷体"/>
          <w:sz w:val="32"/>
          <w:szCs w:val="32"/>
        </w:rPr>
      </w:pPr>
    </w:p>
    <w:p w14:paraId="2B71FD61">
      <w:pPr>
        <w:spacing w:line="500" w:lineRule="exact"/>
        <w:rPr>
          <w:rFonts w:ascii="楷体_GB2312" w:hAnsi="楷体" w:eastAsia="楷体_GB2312" w:cs="楷体"/>
          <w:sz w:val="32"/>
          <w:szCs w:val="32"/>
        </w:rPr>
      </w:pPr>
    </w:p>
    <w:p w14:paraId="614879AB">
      <w:pPr>
        <w:spacing w:line="500" w:lineRule="exact"/>
        <w:rPr>
          <w:rFonts w:ascii="楷体_GB2312" w:hAnsi="楷体" w:eastAsia="楷体_GB2312" w:cs="楷体"/>
          <w:sz w:val="32"/>
          <w:szCs w:val="32"/>
        </w:rPr>
      </w:pPr>
    </w:p>
    <w:p w14:paraId="6A46A34A">
      <w:pPr>
        <w:spacing w:line="500" w:lineRule="exact"/>
        <w:rPr>
          <w:rFonts w:ascii="楷体_GB2312" w:hAnsi="楷体" w:eastAsia="楷体_GB2312" w:cs="楷体"/>
          <w:sz w:val="32"/>
          <w:szCs w:val="32"/>
        </w:rPr>
      </w:pPr>
    </w:p>
    <w:p w14:paraId="6921A4E5">
      <w:pPr>
        <w:spacing w:line="500" w:lineRule="exact"/>
        <w:rPr>
          <w:rFonts w:ascii="楷体_GB2312" w:hAnsi="楷体" w:eastAsia="楷体_GB2312" w:cs="楷体"/>
          <w:sz w:val="32"/>
          <w:szCs w:val="32"/>
        </w:rPr>
      </w:pPr>
    </w:p>
    <w:p w14:paraId="442D5548">
      <w:pPr>
        <w:spacing w:line="500" w:lineRule="exact"/>
        <w:rPr>
          <w:rFonts w:ascii="楷体_GB2312" w:hAnsi="楷体" w:eastAsia="楷体_GB2312" w:cs="楷体"/>
          <w:sz w:val="32"/>
          <w:szCs w:val="32"/>
        </w:rPr>
      </w:pPr>
    </w:p>
    <w:p w14:paraId="2CB7889C">
      <w:pPr>
        <w:spacing w:line="500" w:lineRule="exact"/>
        <w:rPr>
          <w:rFonts w:ascii="楷体_GB2312" w:hAnsi="楷体" w:eastAsia="楷体_GB2312" w:cs="楷体"/>
          <w:sz w:val="32"/>
          <w:szCs w:val="32"/>
        </w:rPr>
      </w:pPr>
    </w:p>
    <w:p w14:paraId="37F36F74">
      <w:pPr>
        <w:spacing w:line="500" w:lineRule="exact"/>
        <w:rPr>
          <w:rFonts w:ascii="楷体_GB2312" w:hAnsi="楷体" w:eastAsia="楷体_GB2312" w:cs="楷体"/>
          <w:sz w:val="32"/>
          <w:szCs w:val="32"/>
        </w:rPr>
      </w:pPr>
    </w:p>
    <w:p w14:paraId="6510BFA4">
      <w:pPr>
        <w:spacing w:line="500" w:lineRule="exact"/>
        <w:rPr>
          <w:rFonts w:ascii="楷体_GB2312" w:hAnsi="楷体" w:eastAsia="楷体_GB2312" w:cs="楷体"/>
          <w:sz w:val="32"/>
          <w:szCs w:val="32"/>
        </w:rPr>
      </w:pPr>
    </w:p>
    <w:p w14:paraId="3F48C293">
      <w:pPr>
        <w:spacing w:line="500" w:lineRule="exact"/>
        <w:rPr>
          <w:rFonts w:ascii="楷体_GB2312" w:hAnsi="楷体" w:eastAsia="楷体_GB2312" w:cs="楷体"/>
          <w:sz w:val="32"/>
          <w:szCs w:val="32"/>
        </w:rPr>
      </w:pPr>
    </w:p>
    <w:p w14:paraId="513C71F0">
      <w:pPr>
        <w:spacing w:line="500" w:lineRule="exact"/>
        <w:rPr>
          <w:rFonts w:ascii="楷体_GB2312" w:hAnsi="楷体" w:eastAsia="楷体_GB2312" w:cs="楷体"/>
          <w:sz w:val="32"/>
          <w:szCs w:val="32"/>
        </w:rPr>
      </w:pPr>
    </w:p>
    <w:p w14:paraId="7B3E0012">
      <w:pPr>
        <w:spacing w:line="500" w:lineRule="exact"/>
        <w:rPr>
          <w:rFonts w:ascii="楷体_GB2312" w:hAnsi="楷体" w:eastAsia="楷体_GB2312" w:cs="楷体"/>
          <w:sz w:val="32"/>
          <w:szCs w:val="32"/>
        </w:rPr>
      </w:pPr>
    </w:p>
    <w:p w14:paraId="1BE2B11A">
      <w:pPr>
        <w:spacing w:line="500" w:lineRule="exact"/>
        <w:rPr>
          <w:rFonts w:ascii="楷体_GB2312" w:hAnsi="楷体" w:eastAsia="楷体_GB2312" w:cs="楷体"/>
          <w:sz w:val="32"/>
          <w:szCs w:val="32"/>
        </w:rPr>
      </w:pPr>
    </w:p>
    <w:p w14:paraId="67D6A3DB">
      <w:pPr>
        <w:spacing w:line="500" w:lineRule="exact"/>
        <w:rPr>
          <w:rFonts w:ascii="楷体_GB2312" w:hAnsi="楷体" w:eastAsia="楷体_GB2312" w:cs="楷体"/>
          <w:sz w:val="32"/>
          <w:szCs w:val="32"/>
        </w:rPr>
      </w:pPr>
    </w:p>
    <w:p w14:paraId="6C905E02">
      <w:pPr>
        <w:spacing w:line="500" w:lineRule="exact"/>
        <w:rPr>
          <w:rFonts w:ascii="楷体_GB2312" w:hAnsi="楷体" w:eastAsia="楷体_GB2312" w:cs="楷体"/>
          <w:sz w:val="32"/>
          <w:szCs w:val="32"/>
        </w:rPr>
      </w:pPr>
    </w:p>
    <w:p w14:paraId="44C23B2A">
      <w:pPr>
        <w:spacing w:line="500" w:lineRule="exact"/>
        <w:rPr>
          <w:rFonts w:ascii="楷体_GB2312" w:hAnsi="楷体" w:eastAsia="楷体_GB2312" w:cs="楷体"/>
          <w:sz w:val="32"/>
          <w:szCs w:val="32"/>
        </w:rPr>
      </w:pPr>
      <w:r>
        <w:rPr>
          <w:rFonts w:hint="eastAsia" w:ascii="楷体_GB2312" w:hAnsi="楷体" w:eastAsia="楷体_GB2312" w:cs="楷体"/>
          <w:sz w:val="32"/>
          <w:szCs w:val="32"/>
        </w:rPr>
        <w:t>提案编号：049</w:t>
      </w:r>
    </w:p>
    <w:p w14:paraId="1AAC829D">
      <w:pPr>
        <w:spacing w:line="560" w:lineRule="exact"/>
        <w:rPr>
          <w:rFonts w:hint="eastAsia" w:ascii="楷体_GB2312" w:hAnsi="方正小标宋" w:eastAsia="楷体_GB2312" w:cs="方正小标宋"/>
          <w:bCs/>
          <w:sz w:val="32"/>
          <w:szCs w:val="32"/>
        </w:rPr>
      </w:pPr>
      <w:r>
        <w:rPr>
          <w:rFonts w:hint="eastAsia" w:ascii="楷体_GB2312" w:hAnsi="楷体" w:eastAsia="楷体_GB2312" w:cs="楷体"/>
          <w:sz w:val="32"/>
          <w:szCs w:val="32"/>
        </w:rPr>
        <w:t>提案名称：</w:t>
      </w:r>
      <w:r>
        <w:rPr>
          <w:rFonts w:hint="eastAsia" w:ascii="楷体_GB2312" w:hAnsi="方正小标宋" w:eastAsia="楷体_GB2312" w:cs="方正小标宋"/>
          <w:bCs/>
          <w:sz w:val="32"/>
          <w:szCs w:val="32"/>
        </w:rPr>
        <w:t>关于减少社会老龄化的提案</w:t>
      </w:r>
    </w:p>
    <w:p w14:paraId="6AA884E4">
      <w:pPr>
        <w:spacing w:line="500" w:lineRule="exact"/>
        <w:rPr>
          <w:rFonts w:ascii="楷体_GB2312" w:hAnsi="楷体" w:eastAsia="楷体_GB2312" w:cs="楷体"/>
          <w:sz w:val="32"/>
          <w:szCs w:val="32"/>
        </w:rPr>
      </w:pPr>
      <w:r>
        <w:rPr>
          <w:rFonts w:hint="eastAsia" w:ascii="楷体_GB2312" w:hAnsi="楷体" w:eastAsia="楷体_GB2312" w:cs="楷体"/>
          <w:sz w:val="32"/>
          <w:szCs w:val="32"/>
        </w:rPr>
        <w:t>提 案 人：刘丽丽</w:t>
      </w:r>
    </w:p>
    <w:p w14:paraId="648D91EE">
      <w:pPr>
        <w:spacing w:line="500" w:lineRule="exact"/>
        <w:rPr>
          <w:rFonts w:ascii="楷体_GB2312" w:hAnsi="楷体" w:eastAsia="楷体_GB2312" w:cs="楷体"/>
          <w:sz w:val="32"/>
          <w:szCs w:val="32"/>
        </w:rPr>
      </w:pPr>
      <w:r>
        <w:rPr>
          <w:rFonts w:hint="eastAsia" w:ascii="楷体_GB2312" w:hAnsi="楷体" w:eastAsia="楷体_GB2312" w:cs="楷体"/>
          <w:sz w:val="32"/>
          <w:szCs w:val="32"/>
        </w:rPr>
        <w:t>联系方式：13310387876</w:t>
      </w:r>
    </w:p>
    <w:p w14:paraId="30CF6959">
      <w:pPr>
        <w:spacing w:line="500" w:lineRule="exact"/>
        <w:rPr>
          <w:rFonts w:ascii="楷体_GB2312" w:hAnsi="楷体" w:eastAsia="楷体_GB2312" w:cs="楷体"/>
          <w:sz w:val="32"/>
          <w:szCs w:val="32"/>
        </w:rPr>
      </w:pPr>
      <w:r>
        <w:rPr>
          <w:rFonts w:hint="eastAsia" w:ascii="楷体_GB2312" w:hAnsi="楷体" w:eastAsia="楷体_GB2312" w:cs="楷体"/>
          <w:sz w:val="32"/>
          <w:szCs w:val="32"/>
        </w:rPr>
        <w:t>界    别：特别邀请和归侨侨眷</w:t>
      </w:r>
    </w:p>
    <w:p w14:paraId="23B8C09E">
      <w:pPr>
        <w:spacing w:line="560" w:lineRule="exact"/>
        <w:jc w:val="center"/>
        <w:rPr>
          <w:rFonts w:hint="eastAsia" w:ascii="方正小标宋简体" w:hAnsi="方正小标宋" w:eastAsia="方正小标宋简体" w:cs="方正小标宋"/>
          <w:bCs/>
          <w:sz w:val="44"/>
          <w:szCs w:val="44"/>
        </w:rPr>
      </w:pPr>
      <w:r>
        <w:rPr>
          <w:rFonts w:hint="eastAsia" w:ascii="方正小标宋简体" w:hAnsi="方正小标宋" w:eastAsia="方正小标宋简体" w:cs="方正小标宋"/>
          <w:bCs/>
          <w:sz w:val="44"/>
          <w:szCs w:val="44"/>
        </w:rPr>
        <w:t>关于减少社会老龄化的提案</w:t>
      </w:r>
    </w:p>
    <w:p w14:paraId="45CC3D0C">
      <w:pPr>
        <w:spacing w:line="560" w:lineRule="exact"/>
        <w:jc w:val="center"/>
        <w:rPr>
          <w:rFonts w:ascii="方正小标宋" w:hAnsi="方正小标宋" w:eastAsia="方正小标宋" w:cs="方正小标宋"/>
          <w:b/>
          <w:bCs/>
          <w:sz w:val="44"/>
          <w:szCs w:val="44"/>
        </w:rPr>
      </w:pPr>
    </w:p>
    <w:p w14:paraId="3C182EFD">
      <w:pPr>
        <w:widowControl/>
        <w:shd w:val="clear" w:color="auto" w:fill="FFFFFF"/>
        <w:spacing w:line="560" w:lineRule="exact"/>
        <w:ind w:firstLine="640" w:firstLineChars="200"/>
        <w:jc w:val="left"/>
        <w:rPr>
          <w:rFonts w:hint="eastAsia" w:ascii="仿宋_GB2312" w:hAnsi="仿宋_GB" w:eastAsia="仿宋_GB2312" w:cs="仿宋_GB"/>
          <w:sz w:val="32"/>
          <w:szCs w:val="32"/>
        </w:rPr>
      </w:pPr>
      <w:r>
        <w:rPr>
          <w:rFonts w:hint="eastAsia" w:ascii="仿宋_GB2312" w:hAnsi="仿宋_GB" w:eastAsia="仿宋_GB2312" w:cs="仿宋_GB"/>
          <w:kern w:val="0"/>
          <w:sz w:val="32"/>
          <w:szCs w:val="32"/>
          <w:shd w:val="clear" w:color="auto" w:fill="FFFFFF"/>
          <w:lang w:bidi="ar"/>
        </w:rPr>
        <w:t>人口老龄化是指人口生育率降低和</w:t>
      </w:r>
      <w:r>
        <w:fldChar w:fldCharType="begin"/>
      </w:r>
      <w:r>
        <w:instrText xml:space="preserve"> HYPERLINK "https://baike.baidu.com/item/%E4%BA%BA%E5%9D%87%E5%AF%BF%E5%91%BD/145575?fromModule=lemma_inlink" \t "https://baike.baidu.com/item/%E4%BA%BA%E5%8F%A3%E8%80%81%E9%BE%84%E5%8C%96/_blank" </w:instrText>
      </w:r>
      <w:r>
        <w:fldChar w:fldCharType="separate"/>
      </w:r>
      <w:r>
        <w:rPr>
          <w:rStyle w:val="17"/>
          <w:rFonts w:hint="eastAsia" w:ascii="仿宋_GB2312" w:hAnsi="仿宋_GB" w:eastAsia="仿宋_GB2312" w:cs="仿宋_GB"/>
          <w:sz w:val="32"/>
          <w:szCs w:val="32"/>
          <w:shd w:val="clear" w:color="auto" w:fill="FFFFFF"/>
        </w:rPr>
        <w:t>人均寿命</w:t>
      </w:r>
      <w:r>
        <w:rPr>
          <w:rStyle w:val="17"/>
          <w:rFonts w:hint="eastAsia" w:ascii="仿宋_GB2312" w:hAnsi="仿宋_GB" w:eastAsia="仿宋_GB2312" w:cs="仿宋_GB"/>
          <w:sz w:val="32"/>
          <w:szCs w:val="32"/>
          <w:shd w:val="clear" w:color="auto" w:fill="FFFFFF"/>
        </w:rPr>
        <w:fldChar w:fldCharType="end"/>
      </w:r>
      <w:r>
        <w:rPr>
          <w:rFonts w:hint="eastAsia" w:ascii="仿宋_GB2312" w:hAnsi="仿宋_GB" w:eastAsia="仿宋_GB2312" w:cs="仿宋_GB"/>
          <w:kern w:val="0"/>
          <w:sz w:val="32"/>
          <w:szCs w:val="32"/>
          <w:shd w:val="clear" w:color="auto" w:fill="FFFFFF"/>
          <w:lang w:bidi="ar"/>
        </w:rPr>
        <w:t>延长导致的总人口中，因年轻人口数量减少、年长人口数量增加而导致的老年人口比例相应增长的动态。人口老龄化主要有两个含义：一是指老年人口相对增多，在总人口中所占比例不断上升；二是指社会人口结构呈现老年状态，进入</w:t>
      </w:r>
      <w:r>
        <w:fldChar w:fldCharType="begin"/>
      </w:r>
      <w:r>
        <w:instrText xml:space="preserve"> HYPERLINK "https://baike.baidu.com/item/%E8%80%81%E9%BE%84%E5%8C%96%E7%A4%BE%E4%BC%9A/474558?fromModule=lemma_inlink" \t "https://baike.baidu.com/item/%E4%BA%BA%E5%8F%A3%E8%80%81%E9%BE%84%E5%8C%96/_blank" </w:instrText>
      </w:r>
      <w:r>
        <w:fldChar w:fldCharType="separate"/>
      </w:r>
      <w:r>
        <w:rPr>
          <w:rStyle w:val="17"/>
          <w:rFonts w:hint="eastAsia" w:ascii="仿宋_GB2312" w:hAnsi="仿宋_GB" w:eastAsia="仿宋_GB2312" w:cs="仿宋_GB"/>
          <w:sz w:val="32"/>
          <w:szCs w:val="32"/>
          <w:shd w:val="clear" w:color="auto" w:fill="FFFFFF"/>
        </w:rPr>
        <w:t>老龄化社会</w:t>
      </w:r>
      <w:r>
        <w:rPr>
          <w:rStyle w:val="17"/>
          <w:rFonts w:hint="eastAsia" w:ascii="仿宋_GB2312" w:hAnsi="仿宋_GB" w:eastAsia="仿宋_GB2312" w:cs="仿宋_GB"/>
          <w:sz w:val="32"/>
          <w:szCs w:val="32"/>
          <w:shd w:val="clear" w:color="auto" w:fill="FFFFFF"/>
        </w:rPr>
        <w:fldChar w:fldCharType="end"/>
      </w:r>
      <w:r>
        <w:rPr>
          <w:rFonts w:hint="eastAsia" w:ascii="仿宋_GB2312" w:hAnsi="仿宋_GB" w:eastAsia="仿宋_GB2312" w:cs="仿宋_GB"/>
          <w:kern w:val="0"/>
          <w:sz w:val="32"/>
          <w:szCs w:val="32"/>
          <w:shd w:val="clear" w:color="auto" w:fill="FFFFFF"/>
          <w:lang w:bidi="ar"/>
        </w:rPr>
        <w:t>。</w:t>
      </w:r>
    </w:p>
    <w:p w14:paraId="63147147">
      <w:pPr>
        <w:spacing w:line="560" w:lineRule="exact"/>
        <w:ind w:firstLine="640" w:firstLineChars="200"/>
        <w:rPr>
          <w:rFonts w:hint="eastAsia" w:ascii="仿宋_GB2312" w:hAnsi="仿宋_GB" w:eastAsia="仿宋_GB2312" w:cs="仿宋_GB"/>
          <w:sz w:val="32"/>
          <w:szCs w:val="32"/>
          <w:shd w:val="clear" w:color="auto" w:fill="FFFFFF"/>
        </w:rPr>
      </w:pPr>
      <w:r>
        <w:rPr>
          <w:rFonts w:hint="eastAsia" w:ascii="仿宋_GB2312" w:hAnsi="仿宋_GB" w:eastAsia="仿宋_GB2312" w:cs="仿宋_GB"/>
          <w:sz w:val="32"/>
          <w:szCs w:val="32"/>
          <w:shd w:val="clear" w:color="auto" w:fill="FFFFFF"/>
        </w:rPr>
        <w:t>根据我国第七次全国人口普查数据，我国15—59岁人口为89438万人，占63.35%；60岁及以上人口为26402万人，占18.70%（其中，65岁及以上人口为19064万人，占13.50%）。与2010年相比，15—59岁、60岁及以上人口的比重分别下降6.79个百分点、上升5.44个百分点。我国人口老龄化程度进一步加深，未来一段时期将持续面临人口长期均衡发展的压力。</w:t>
      </w:r>
    </w:p>
    <w:p w14:paraId="78BC056E">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一、存在的问题</w:t>
      </w:r>
    </w:p>
    <w:p w14:paraId="7CBB5E6F">
      <w:pPr>
        <w:pStyle w:val="11"/>
        <w:widowControl/>
        <w:spacing w:line="560" w:lineRule="exact"/>
        <w:ind w:firstLine="602" w:firstLineChars="200"/>
        <w:rPr>
          <w:rFonts w:hint="eastAsia" w:ascii="仿宋_GB2312" w:hAnsi="仿宋_GB" w:eastAsia="仿宋_GB2312" w:cs="仿宋_GB"/>
          <w:sz w:val="32"/>
          <w:szCs w:val="32"/>
        </w:rPr>
      </w:pPr>
      <w:r>
        <w:rPr>
          <w:rFonts w:hint="eastAsia" w:ascii="楷体" w:hAnsi="楷体" w:eastAsia="楷体" w:cs="楷体"/>
          <w:b/>
          <w:bCs/>
          <w:sz w:val="30"/>
          <w:szCs w:val="30"/>
        </w:rPr>
        <w:t>‌</w:t>
      </w:r>
      <w:r>
        <w:rPr>
          <w:rFonts w:hint="eastAsia" w:ascii="楷体_GB2312" w:hAnsi="楷体" w:eastAsia="楷体_GB2312" w:cs="楷体"/>
          <w:bCs/>
          <w:sz w:val="32"/>
          <w:szCs w:val="32"/>
        </w:rPr>
        <w:t>（一）</w:t>
      </w:r>
      <w:r>
        <w:rPr>
          <w:rStyle w:val="16"/>
          <w:rFonts w:hint="eastAsia" w:ascii="楷体_GB2312" w:hAnsi="楷体" w:eastAsia="楷体_GB2312" w:cs="楷体"/>
          <w:bCs/>
          <w:sz w:val="32"/>
          <w:szCs w:val="32"/>
        </w:rPr>
        <w:t>劳动力短缺</w:t>
      </w:r>
      <w:r>
        <w:rPr>
          <w:rFonts w:hint="eastAsia" w:ascii="MS Gothic" w:hAnsi="MS Gothic" w:eastAsia="MS Gothic" w:cs="MS Gothic"/>
          <w:b/>
          <w:bCs/>
          <w:sz w:val="32"/>
          <w:szCs w:val="32"/>
        </w:rPr>
        <w:t>‌</w:t>
      </w:r>
      <w:r>
        <w:rPr>
          <w:rFonts w:hint="eastAsia" w:ascii="楷体_GB2312" w:hAnsi="楷体_GB2312" w:eastAsia="楷体_GB2312" w:cs="楷体_GB2312"/>
          <w:b/>
          <w:bCs/>
          <w:sz w:val="32"/>
          <w:szCs w:val="32"/>
        </w:rPr>
        <w:t>。</w:t>
      </w:r>
      <w:r>
        <w:rPr>
          <w:rFonts w:hint="eastAsia" w:ascii="仿宋_GB2312" w:hAnsi="仿宋_GB" w:eastAsia="仿宋_GB2312" w:cs="仿宋_GB"/>
          <w:sz w:val="32"/>
          <w:szCs w:val="32"/>
        </w:rPr>
        <w:t>随着老年人口比例的增加，劳动力市场将面临严峻挑战。2030年后，供养一个老年人所需的劳动力将从目前的近5个减少到2个，这意味着每个在职人员需要承担更多的养老责任，导致劳动力市场供需失衡。</w:t>
      </w:r>
    </w:p>
    <w:p w14:paraId="78F39893">
      <w:pPr>
        <w:pStyle w:val="11"/>
        <w:widowControl/>
        <w:spacing w:line="560" w:lineRule="exact"/>
        <w:ind w:firstLine="602" w:firstLineChars="200"/>
        <w:rPr>
          <w:rFonts w:hint="eastAsia" w:ascii="仿宋_GB2312" w:hAnsi="仿宋_GB" w:eastAsia="仿宋_GB2312" w:cs="仿宋_GB"/>
          <w:sz w:val="32"/>
          <w:szCs w:val="32"/>
        </w:rPr>
      </w:pPr>
      <w:r>
        <w:rPr>
          <w:rFonts w:hint="eastAsia" w:ascii="楷体" w:hAnsi="楷体" w:eastAsia="楷体" w:cs="楷体"/>
          <w:b/>
          <w:bCs/>
          <w:sz w:val="30"/>
          <w:szCs w:val="30"/>
        </w:rPr>
        <w:t>‌</w:t>
      </w:r>
      <w:r>
        <w:rPr>
          <w:rFonts w:hint="eastAsia" w:ascii="楷体_GB2312" w:hAnsi="楷体" w:eastAsia="楷体_GB2312" w:cs="楷体"/>
          <w:bCs/>
          <w:sz w:val="32"/>
          <w:szCs w:val="32"/>
        </w:rPr>
        <w:t>（二）</w:t>
      </w:r>
      <w:r>
        <w:rPr>
          <w:rStyle w:val="16"/>
          <w:rFonts w:hint="eastAsia" w:ascii="楷体_GB2312" w:hAnsi="楷体" w:eastAsia="楷体_GB2312" w:cs="楷体"/>
          <w:bCs/>
          <w:sz w:val="32"/>
          <w:szCs w:val="32"/>
        </w:rPr>
        <w:t>社会保障压力增大</w:t>
      </w:r>
      <w:r>
        <w:rPr>
          <w:rFonts w:hint="eastAsia" w:ascii="MS Gothic" w:hAnsi="MS Gothic" w:eastAsia="MS Gothic" w:cs="MS Gothic"/>
          <w:b/>
          <w:bCs/>
          <w:sz w:val="32"/>
          <w:szCs w:val="32"/>
        </w:rPr>
        <w:t>‌</w:t>
      </w:r>
      <w:r>
        <w:rPr>
          <w:rFonts w:hint="eastAsia" w:ascii="楷体_GB2312" w:hAnsi="楷体" w:eastAsia="楷体_GB2312" w:cs="楷体"/>
          <w:bCs/>
          <w:sz w:val="32"/>
          <w:szCs w:val="32"/>
        </w:rPr>
        <w:t>。</w:t>
      </w:r>
      <w:r>
        <w:rPr>
          <w:rFonts w:hint="eastAsia" w:ascii="仿宋_GB2312" w:hAnsi="仿宋_GB" w:eastAsia="仿宋_GB2312" w:cs="仿宋_GB"/>
          <w:sz w:val="32"/>
          <w:szCs w:val="32"/>
        </w:rPr>
        <w:t>老年人口的增加导致社会保障支出显著增加。养老金和医疗保障的支付压力不断增大，尤其是在少子化趋势下，劳动人口减少，养老金的缴费基数减少，而领取养老金的人数增加，导致养老金收支差距加大。</w:t>
      </w:r>
    </w:p>
    <w:p w14:paraId="16E340E2">
      <w:pPr>
        <w:pStyle w:val="11"/>
        <w:widowControl/>
        <w:spacing w:line="560" w:lineRule="exact"/>
        <w:ind w:firstLine="602" w:firstLineChars="200"/>
        <w:rPr>
          <w:rFonts w:hint="eastAsia" w:ascii="仿宋_GB2312" w:hAnsi="仿宋_GB" w:eastAsia="仿宋_GB2312" w:cs="仿宋_GB"/>
          <w:sz w:val="32"/>
          <w:szCs w:val="32"/>
        </w:rPr>
      </w:pPr>
      <w:r>
        <w:rPr>
          <w:rFonts w:hint="eastAsia" w:ascii="楷体" w:hAnsi="楷体" w:eastAsia="楷体" w:cs="楷体"/>
          <w:b/>
          <w:bCs/>
          <w:sz w:val="30"/>
          <w:szCs w:val="30"/>
        </w:rPr>
        <w:t>‌</w:t>
      </w:r>
      <w:r>
        <w:rPr>
          <w:rFonts w:hint="eastAsia" w:ascii="楷体_GB2312" w:hAnsi="楷体" w:eastAsia="楷体_GB2312" w:cs="楷体"/>
          <w:bCs/>
          <w:sz w:val="32"/>
          <w:szCs w:val="32"/>
        </w:rPr>
        <w:t>（三）</w:t>
      </w:r>
      <w:r>
        <w:rPr>
          <w:rStyle w:val="16"/>
          <w:rFonts w:hint="eastAsia" w:ascii="楷体_GB2312" w:hAnsi="楷体" w:eastAsia="楷体_GB2312" w:cs="楷体"/>
          <w:bCs/>
          <w:sz w:val="32"/>
          <w:szCs w:val="32"/>
        </w:rPr>
        <w:t>经济增速放缓</w:t>
      </w:r>
      <w:r>
        <w:rPr>
          <w:rFonts w:hint="eastAsia" w:ascii="MS Gothic" w:hAnsi="MS Gothic" w:eastAsia="MS Gothic" w:cs="MS Gothic"/>
          <w:b/>
          <w:bCs/>
          <w:sz w:val="32"/>
          <w:szCs w:val="32"/>
        </w:rPr>
        <w:t>‌</w:t>
      </w:r>
      <w:r>
        <w:rPr>
          <w:rFonts w:hint="eastAsia" w:ascii="楷体_GB2312" w:hAnsi="楷体" w:eastAsia="楷体_GB2312" w:cs="楷体"/>
          <w:bCs/>
          <w:sz w:val="32"/>
          <w:szCs w:val="32"/>
        </w:rPr>
        <w:t>。</w:t>
      </w:r>
      <w:r>
        <w:rPr>
          <w:rFonts w:hint="eastAsia" w:ascii="仿宋_GB2312" w:hAnsi="仿宋_GB" w:eastAsia="仿宋_GB2312" w:cs="仿宋_GB"/>
          <w:sz w:val="32"/>
          <w:szCs w:val="32"/>
        </w:rPr>
        <w:t>劳动力供应量的急剧下降会影响经济增长。中国在现代化进程中过早丧失了劳动力比较优势，既无发达国家的技术优势和资本优势，又无发展中国家的低成本劳动力优势，这可能导致经济增速放缓。</w:t>
      </w:r>
    </w:p>
    <w:p w14:paraId="6801B1A7">
      <w:pPr>
        <w:pStyle w:val="11"/>
        <w:widowControl/>
        <w:spacing w:line="560" w:lineRule="exact"/>
        <w:ind w:firstLine="602" w:firstLineChars="200"/>
        <w:rPr>
          <w:rFonts w:hint="eastAsia" w:ascii="仿宋_GB2312" w:hAnsi="仿宋_GB" w:eastAsia="仿宋_GB2312" w:cs="仿宋_GB"/>
          <w:sz w:val="32"/>
          <w:szCs w:val="32"/>
        </w:rPr>
      </w:pPr>
      <w:r>
        <w:rPr>
          <w:rFonts w:hint="eastAsia" w:ascii="楷体" w:hAnsi="楷体" w:eastAsia="楷体" w:cs="楷体"/>
          <w:b/>
          <w:bCs/>
          <w:sz w:val="30"/>
          <w:szCs w:val="30"/>
        </w:rPr>
        <w:t>‌</w:t>
      </w:r>
      <w:r>
        <w:rPr>
          <w:rFonts w:hint="eastAsia" w:ascii="楷体_GB2312" w:hAnsi="楷体" w:eastAsia="楷体_GB2312" w:cs="楷体"/>
          <w:bCs/>
          <w:sz w:val="32"/>
          <w:szCs w:val="32"/>
        </w:rPr>
        <w:t>（四）</w:t>
      </w:r>
      <w:r>
        <w:rPr>
          <w:rStyle w:val="16"/>
          <w:rFonts w:hint="eastAsia" w:ascii="楷体_GB2312" w:hAnsi="楷体" w:eastAsia="楷体_GB2312" w:cs="楷体"/>
          <w:bCs/>
          <w:sz w:val="32"/>
          <w:szCs w:val="32"/>
        </w:rPr>
        <w:t>家庭结构变化</w:t>
      </w:r>
      <w:r>
        <w:rPr>
          <w:rFonts w:hint="eastAsia" w:ascii="MS Gothic" w:hAnsi="MS Gothic" w:eastAsia="MS Gothic" w:cs="MS Gothic"/>
          <w:b/>
          <w:bCs/>
          <w:sz w:val="32"/>
          <w:szCs w:val="32"/>
        </w:rPr>
        <w:t>‌</w:t>
      </w:r>
      <w:r>
        <w:rPr>
          <w:rFonts w:hint="eastAsia" w:ascii="楷体_GB2312" w:hAnsi="楷体" w:eastAsia="楷体_GB2312" w:cs="楷体"/>
          <w:b/>
          <w:bCs/>
          <w:sz w:val="32"/>
          <w:szCs w:val="32"/>
        </w:rPr>
        <w:t>。</w:t>
      </w:r>
      <w:r>
        <w:rPr>
          <w:rFonts w:hint="eastAsia" w:ascii="仿宋_GB2312" w:hAnsi="仿宋_GB" w:eastAsia="仿宋_GB2312" w:cs="仿宋_GB"/>
          <w:sz w:val="32"/>
          <w:szCs w:val="32"/>
        </w:rPr>
        <w:t>传统家庭结构发生变化，家庭子女数量减少，家庭养老功能逐渐弱化。老年人更多地依赖社会养老服务，但现有的养老服务体系尚不完善，服务质量和覆盖面有待提高。</w:t>
      </w:r>
    </w:p>
    <w:p w14:paraId="7411EF73">
      <w:pPr>
        <w:pStyle w:val="11"/>
        <w:widowControl/>
        <w:spacing w:line="560" w:lineRule="exact"/>
        <w:ind w:firstLine="602" w:firstLineChars="200"/>
        <w:rPr>
          <w:rFonts w:hint="eastAsia" w:ascii="仿宋_GB2312" w:hAnsi="仿宋_GB" w:eastAsia="仿宋_GB2312" w:cs="仿宋_GB"/>
          <w:sz w:val="32"/>
          <w:szCs w:val="32"/>
          <w:shd w:val="clear" w:color="auto" w:fill="FFFFFF"/>
        </w:rPr>
      </w:pPr>
      <w:r>
        <w:rPr>
          <w:rFonts w:hint="eastAsia" w:ascii="楷体" w:hAnsi="楷体" w:eastAsia="楷体" w:cs="楷体"/>
          <w:b/>
          <w:bCs/>
          <w:sz w:val="30"/>
          <w:szCs w:val="30"/>
        </w:rPr>
        <w:t>‌</w:t>
      </w:r>
      <w:r>
        <w:rPr>
          <w:rFonts w:hint="eastAsia" w:ascii="楷体_GB2312" w:hAnsi="楷体" w:eastAsia="楷体_GB2312" w:cs="楷体"/>
          <w:bCs/>
          <w:sz w:val="32"/>
          <w:szCs w:val="32"/>
        </w:rPr>
        <w:t>（五）心理健康问题</w:t>
      </w:r>
      <w:r>
        <w:rPr>
          <w:rFonts w:hint="eastAsia" w:ascii="MS Gothic" w:hAnsi="MS Gothic" w:eastAsia="MS Gothic" w:cs="MS Gothic"/>
          <w:bCs/>
          <w:sz w:val="32"/>
          <w:szCs w:val="32"/>
        </w:rPr>
        <w:t>‌</w:t>
      </w:r>
      <w:r>
        <w:rPr>
          <w:rFonts w:hint="eastAsia" w:ascii="楷体_GB2312" w:hAnsi="楷体" w:eastAsia="楷体_GB2312" w:cs="楷体"/>
          <w:bCs/>
          <w:sz w:val="32"/>
          <w:szCs w:val="32"/>
        </w:rPr>
        <w:t>。</w:t>
      </w:r>
      <w:r>
        <w:rPr>
          <w:rFonts w:hint="eastAsia" w:ascii="仿宋_GB2312" w:hAnsi="仿宋_GB" w:eastAsia="仿宋_GB2312" w:cs="仿宋_GB"/>
          <w:sz w:val="32"/>
          <w:szCs w:val="32"/>
        </w:rPr>
        <w:t>老年人面临的心理孤单问题也不容忽视。随着年龄的增长，老年人可能会感到孤独和缺乏社交支持，这可能对他们的心理健康产生负面影响。</w:t>
      </w:r>
    </w:p>
    <w:p w14:paraId="27B106B3">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二、建议</w:t>
      </w:r>
    </w:p>
    <w:p w14:paraId="22324668">
      <w:pPr>
        <w:widowControl/>
        <w:spacing w:line="560" w:lineRule="exact"/>
        <w:ind w:firstLine="602" w:firstLineChars="200"/>
        <w:jc w:val="left"/>
        <w:rPr>
          <w:rFonts w:hint="eastAsia" w:ascii="仿宋_GB2312" w:hAnsi="仿宋_GB" w:eastAsia="仿宋_GB2312" w:cs="仿宋_GB"/>
          <w:sz w:val="32"/>
          <w:szCs w:val="32"/>
        </w:rPr>
      </w:pPr>
      <w:r>
        <w:rPr>
          <w:rFonts w:ascii="楷体" w:hAnsi="楷体" w:eastAsia="楷体" w:cs="楷体"/>
          <w:b/>
          <w:bCs/>
          <w:sz w:val="30"/>
          <w:szCs w:val="30"/>
        </w:rPr>
        <w:t>‌</w:t>
      </w:r>
      <w:r>
        <w:rPr>
          <w:rFonts w:hint="eastAsia" w:ascii="楷体_GB2312" w:hAnsi="楷体" w:eastAsia="楷体_GB2312" w:cs="楷体"/>
          <w:bCs/>
          <w:sz w:val="32"/>
          <w:szCs w:val="32"/>
        </w:rPr>
        <w:t>（一）发展经济</w:t>
      </w:r>
      <w:r>
        <w:rPr>
          <w:rFonts w:hint="eastAsia" w:ascii="MS Gothic" w:hAnsi="MS Gothic" w:eastAsia="MS Gothic" w:cs="MS Gothic"/>
          <w:bCs/>
          <w:sz w:val="32"/>
          <w:szCs w:val="32"/>
        </w:rPr>
        <w:t>‌</w:t>
      </w:r>
      <w:r>
        <w:rPr>
          <w:rFonts w:hint="eastAsia" w:ascii="楷体_GB2312" w:hAnsi="楷体" w:eastAsia="楷体_GB2312" w:cs="楷体"/>
          <w:bCs/>
          <w:sz w:val="32"/>
          <w:szCs w:val="32"/>
        </w:rPr>
        <w:t>。</w:t>
      </w:r>
      <w:r>
        <w:rPr>
          <w:rFonts w:hint="eastAsia" w:ascii="仿宋_GB2312" w:hAnsi="仿宋_GB" w:eastAsia="仿宋_GB2312" w:cs="仿宋_GB"/>
          <w:sz w:val="32"/>
          <w:szCs w:val="32"/>
        </w:rPr>
        <w:t>大力发展经济，通过经济增长抵消人口老龄化给社会发展带来的不利影响。</w:t>
      </w:r>
    </w:p>
    <w:p w14:paraId="6F968816">
      <w:pPr>
        <w:widowControl/>
        <w:spacing w:line="560" w:lineRule="exact"/>
        <w:ind w:firstLine="602" w:firstLineChars="200"/>
        <w:jc w:val="left"/>
        <w:rPr>
          <w:rFonts w:hint="eastAsia" w:ascii="仿宋_GB2312" w:hAnsi="仿宋_GB" w:eastAsia="仿宋_GB2312" w:cs="仿宋_GB"/>
          <w:sz w:val="32"/>
          <w:szCs w:val="32"/>
        </w:rPr>
      </w:pPr>
      <w:r>
        <w:rPr>
          <w:rFonts w:hint="eastAsia" w:ascii="楷体" w:hAnsi="楷体" w:eastAsia="楷体" w:cs="楷体"/>
          <w:b/>
          <w:bCs/>
          <w:sz w:val="30"/>
          <w:szCs w:val="30"/>
        </w:rPr>
        <w:t>‌</w:t>
      </w:r>
      <w:r>
        <w:rPr>
          <w:rFonts w:hint="eastAsia" w:ascii="楷体_GB2312" w:hAnsi="楷体" w:eastAsia="楷体_GB2312" w:cs="楷体"/>
          <w:bCs/>
          <w:sz w:val="32"/>
          <w:szCs w:val="32"/>
        </w:rPr>
        <w:t>（二）</w:t>
      </w:r>
      <w:r>
        <w:rPr>
          <w:rStyle w:val="16"/>
          <w:rFonts w:hint="eastAsia" w:ascii="楷体_GB2312" w:hAnsi="楷体" w:eastAsia="楷体_GB2312" w:cs="楷体"/>
          <w:bCs/>
          <w:sz w:val="32"/>
          <w:szCs w:val="32"/>
        </w:rPr>
        <w:t>完善社会保障体系</w:t>
      </w:r>
      <w:r>
        <w:rPr>
          <w:rFonts w:hint="eastAsia" w:ascii="MS Gothic" w:hAnsi="MS Gothic" w:eastAsia="MS Gothic" w:cs="MS Gothic"/>
          <w:b/>
          <w:bCs/>
          <w:sz w:val="32"/>
          <w:szCs w:val="32"/>
        </w:rPr>
        <w:t>‌</w:t>
      </w:r>
      <w:r>
        <w:rPr>
          <w:rFonts w:hint="eastAsia" w:ascii="楷体_GB2312" w:hAnsi="楷体" w:eastAsia="楷体_GB2312" w:cs="楷体"/>
          <w:bCs/>
          <w:sz w:val="32"/>
          <w:szCs w:val="32"/>
        </w:rPr>
        <w:t>。</w:t>
      </w:r>
      <w:r>
        <w:rPr>
          <w:rFonts w:hint="eastAsia" w:ascii="仿宋_GB2312" w:hAnsi="仿宋_GB" w:eastAsia="仿宋_GB2312" w:cs="仿宋_GB"/>
          <w:sz w:val="32"/>
          <w:szCs w:val="32"/>
        </w:rPr>
        <w:t>建立多支柱养老金体系，延迟退休等措施来减轻养老金支付负担。</w:t>
      </w:r>
    </w:p>
    <w:p w14:paraId="5C499358">
      <w:pPr>
        <w:widowControl/>
        <w:spacing w:line="560" w:lineRule="exact"/>
        <w:ind w:firstLine="602" w:firstLineChars="200"/>
        <w:jc w:val="left"/>
        <w:rPr>
          <w:rFonts w:hint="eastAsia" w:ascii="仿宋_GB2312" w:hAnsi="仿宋_GB" w:eastAsia="仿宋_GB2312" w:cs="仿宋_GB"/>
          <w:sz w:val="32"/>
          <w:szCs w:val="32"/>
        </w:rPr>
      </w:pPr>
      <w:r>
        <w:rPr>
          <w:rFonts w:hint="eastAsia" w:ascii="楷体" w:hAnsi="楷体" w:eastAsia="楷体" w:cs="楷体"/>
          <w:b/>
          <w:bCs/>
          <w:sz w:val="30"/>
          <w:szCs w:val="30"/>
        </w:rPr>
        <w:t>‌</w:t>
      </w:r>
      <w:r>
        <w:rPr>
          <w:rFonts w:hint="eastAsia" w:ascii="楷体_GB2312" w:hAnsi="楷体" w:eastAsia="楷体_GB2312" w:cs="楷体"/>
          <w:bCs/>
          <w:sz w:val="32"/>
          <w:szCs w:val="32"/>
        </w:rPr>
        <w:t>（三）</w:t>
      </w:r>
      <w:r>
        <w:rPr>
          <w:rStyle w:val="16"/>
          <w:rFonts w:hint="eastAsia" w:ascii="楷体_GB2312" w:hAnsi="楷体" w:eastAsia="楷体_GB2312" w:cs="楷体"/>
          <w:bCs/>
          <w:sz w:val="32"/>
          <w:szCs w:val="32"/>
        </w:rPr>
        <w:t>发展养老服务</w:t>
      </w:r>
      <w:r>
        <w:rPr>
          <w:rFonts w:hint="eastAsia" w:ascii="MS Gothic" w:hAnsi="MS Gothic" w:eastAsia="MS Gothic" w:cs="MS Gothic"/>
          <w:b/>
          <w:bCs/>
          <w:sz w:val="32"/>
          <w:szCs w:val="32"/>
        </w:rPr>
        <w:t>‌</w:t>
      </w:r>
      <w:r>
        <w:rPr>
          <w:rFonts w:hint="eastAsia" w:ascii="楷体_GB2312" w:hAnsi="楷体" w:eastAsia="楷体_GB2312" w:cs="楷体"/>
          <w:b/>
          <w:bCs/>
          <w:sz w:val="32"/>
          <w:szCs w:val="32"/>
        </w:rPr>
        <w:t>。</w:t>
      </w:r>
      <w:r>
        <w:rPr>
          <w:rFonts w:hint="eastAsia" w:ascii="仿宋_GB2312" w:hAnsi="仿宋_GB" w:eastAsia="仿宋_GB2312" w:cs="仿宋_GB"/>
          <w:sz w:val="32"/>
          <w:szCs w:val="32"/>
        </w:rPr>
        <w:t>鼓励老年人参与社会发展，满足老年人的多样化需求。</w:t>
      </w:r>
    </w:p>
    <w:p w14:paraId="6412D6E1">
      <w:pPr>
        <w:widowControl/>
        <w:spacing w:line="560" w:lineRule="exact"/>
        <w:ind w:firstLine="640" w:firstLineChars="200"/>
        <w:jc w:val="left"/>
        <w:rPr>
          <w:rFonts w:hint="eastAsia" w:ascii="仿宋_GB2312" w:hAnsi="仿宋_GB" w:eastAsia="仿宋_GB2312" w:cs="仿宋_GB"/>
          <w:sz w:val="32"/>
          <w:szCs w:val="32"/>
        </w:rPr>
      </w:pPr>
      <w:r>
        <w:rPr>
          <w:rFonts w:hint="eastAsia" w:ascii="楷体_GB2312" w:hAnsi="楷体" w:eastAsia="楷体_GB2312" w:cs="楷体"/>
          <w:bCs/>
          <w:sz w:val="32"/>
          <w:szCs w:val="32"/>
        </w:rPr>
        <w:t>（四）延迟退休</w:t>
      </w:r>
      <w:r>
        <w:rPr>
          <w:rFonts w:hint="eastAsia" w:ascii="MS Gothic" w:hAnsi="MS Gothic" w:eastAsia="MS Gothic" w:cs="MS Gothic"/>
          <w:bCs/>
          <w:sz w:val="32"/>
          <w:szCs w:val="32"/>
        </w:rPr>
        <w:t>‌</w:t>
      </w:r>
      <w:r>
        <w:rPr>
          <w:rFonts w:hint="eastAsia" w:ascii="楷体_GB2312" w:hAnsi="楷体" w:eastAsia="楷体_GB2312" w:cs="楷体"/>
          <w:bCs/>
          <w:sz w:val="32"/>
          <w:szCs w:val="32"/>
        </w:rPr>
        <w:t>。</w:t>
      </w:r>
      <w:r>
        <w:rPr>
          <w:rFonts w:hint="eastAsia" w:ascii="仿宋_GB2312" w:hAnsi="仿宋_GB" w:eastAsia="仿宋_GB2312" w:cs="仿宋_GB"/>
          <w:sz w:val="32"/>
          <w:szCs w:val="32"/>
        </w:rPr>
        <w:t>改革退休制度，延迟法定退休年龄，让老年人继续在工作岗位上发挥余热，缓解老龄化带来的不利影响。</w:t>
      </w:r>
    </w:p>
    <w:p w14:paraId="44C390F3">
      <w:pPr>
        <w:widowControl/>
        <w:spacing w:line="560" w:lineRule="exact"/>
        <w:ind w:firstLine="602" w:firstLineChars="200"/>
        <w:jc w:val="left"/>
        <w:rPr>
          <w:rFonts w:hint="eastAsia" w:ascii="仿宋_GB2312" w:hAnsi="仿宋_GB" w:eastAsia="仿宋_GB2312" w:cs="仿宋_GB"/>
          <w:sz w:val="32"/>
          <w:szCs w:val="32"/>
        </w:rPr>
      </w:pPr>
      <w:r>
        <w:rPr>
          <w:rFonts w:hint="eastAsia" w:ascii="楷体" w:hAnsi="楷体" w:eastAsia="楷体" w:cs="楷体"/>
          <w:b/>
          <w:bCs/>
          <w:sz w:val="30"/>
          <w:szCs w:val="30"/>
        </w:rPr>
        <w:t>‌</w:t>
      </w:r>
      <w:r>
        <w:rPr>
          <w:rFonts w:hint="eastAsia" w:ascii="楷体_GB2312" w:hAnsi="楷体" w:eastAsia="楷体_GB2312" w:cs="楷体"/>
          <w:bCs/>
          <w:sz w:val="32"/>
          <w:szCs w:val="32"/>
        </w:rPr>
        <w:t>（五）</w:t>
      </w:r>
      <w:r>
        <w:rPr>
          <w:rStyle w:val="16"/>
          <w:rFonts w:hint="eastAsia" w:ascii="楷体_GB2312" w:hAnsi="楷体" w:eastAsia="楷体_GB2312" w:cs="楷体"/>
          <w:bCs/>
          <w:sz w:val="32"/>
          <w:szCs w:val="32"/>
        </w:rPr>
        <w:t>鼓励生育</w:t>
      </w:r>
      <w:r>
        <w:rPr>
          <w:rFonts w:hint="eastAsia" w:ascii="MS Gothic" w:hAnsi="MS Gothic" w:eastAsia="MS Gothic" w:cs="MS Gothic"/>
          <w:b/>
          <w:bCs/>
          <w:sz w:val="32"/>
          <w:szCs w:val="32"/>
        </w:rPr>
        <w:t>‌</w:t>
      </w:r>
      <w:r>
        <w:rPr>
          <w:rFonts w:hint="eastAsia" w:ascii="楷体_GB2312" w:hAnsi="楷体" w:eastAsia="楷体_GB2312" w:cs="楷体"/>
          <w:b/>
          <w:bCs/>
          <w:sz w:val="32"/>
          <w:szCs w:val="32"/>
        </w:rPr>
        <w:t>。</w:t>
      </w:r>
      <w:r>
        <w:rPr>
          <w:rFonts w:hint="eastAsia" w:ascii="仿宋_GB2312" w:hAnsi="仿宋_GB" w:eastAsia="仿宋_GB2312" w:cs="仿宋_GB"/>
          <w:sz w:val="32"/>
          <w:szCs w:val="32"/>
        </w:rPr>
        <w:t>适当开放生育政策，鼓励人们生养二胎；加大托育服务供给等措施来应对社会老龄化问题。</w:t>
      </w:r>
    </w:p>
    <w:p w14:paraId="3997A9E9">
      <w:pPr>
        <w:rPr>
          <w:rFonts w:ascii="楷体_GB2312" w:hAnsi="楷体_GB2312" w:eastAsia="楷体_GB2312" w:cs="楷体_GB2312"/>
          <w:sz w:val="32"/>
          <w:szCs w:val="32"/>
        </w:rPr>
      </w:pPr>
    </w:p>
    <w:p w14:paraId="39609CBE">
      <w:pPr>
        <w:rPr>
          <w:rFonts w:ascii="楷体_GB2312" w:hAnsi="楷体_GB2312" w:eastAsia="楷体_GB2312" w:cs="楷体_GB2312"/>
          <w:sz w:val="32"/>
          <w:szCs w:val="32"/>
        </w:rPr>
      </w:pPr>
    </w:p>
    <w:p w14:paraId="78C13189">
      <w:pPr>
        <w:rPr>
          <w:rFonts w:ascii="楷体_GB2312" w:hAnsi="楷体_GB2312" w:eastAsia="楷体_GB2312" w:cs="楷体_GB2312"/>
          <w:sz w:val="32"/>
          <w:szCs w:val="32"/>
        </w:rPr>
      </w:pPr>
    </w:p>
    <w:p w14:paraId="613875F2">
      <w:pPr>
        <w:rPr>
          <w:rFonts w:ascii="楷体_GB2312" w:hAnsi="楷体_GB2312" w:eastAsia="楷体_GB2312" w:cs="楷体_GB2312"/>
          <w:sz w:val="32"/>
          <w:szCs w:val="32"/>
        </w:rPr>
      </w:pPr>
    </w:p>
    <w:p w14:paraId="35C1D57A">
      <w:pPr>
        <w:rPr>
          <w:rFonts w:ascii="楷体_GB2312" w:hAnsi="楷体_GB2312" w:eastAsia="楷体_GB2312" w:cs="楷体_GB2312"/>
          <w:sz w:val="32"/>
          <w:szCs w:val="32"/>
        </w:rPr>
      </w:pPr>
    </w:p>
    <w:p w14:paraId="16D2FA5A">
      <w:pPr>
        <w:rPr>
          <w:rFonts w:ascii="楷体_GB2312" w:hAnsi="楷体_GB2312" w:eastAsia="楷体_GB2312" w:cs="楷体_GB2312"/>
          <w:sz w:val="32"/>
          <w:szCs w:val="32"/>
        </w:rPr>
      </w:pPr>
    </w:p>
    <w:p w14:paraId="0DF9ADFE">
      <w:pPr>
        <w:rPr>
          <w:rFonts w:ascii="楷体_GB2312" w:hAnsi="楷体_GB2312" w:eastAsia="楷体_GB2312" w:cs="楷体_GB2312"/>
          <w:sz w:val="32"/>
          <w:szCs w:val="32"/>
        </w:rPr>
      </w:pPr>
    </w:p>
    <w:p w14:paraId="3B2D394D">
      <w:pPr>
        <w:rPr>
          <w:rFonts w:ascii="楷体_GB2312" w:hAnsi="楷体_GB2312" w:eastAsia="楷体_GB2312" w:cs="楷体_GB2312"/>
          <w:sz w:val="32"/>
          <w:szCs w:val="32"/>
        </w:rPr>
      </w:pPr>
    </w:p>
    <w:p w14:paraId="33DD40B0">
      <w:pPr>
        <w:rPr>
          <w:rFonts w:ascii="楷体_GB2312" w:hAnsi="楷体_GB2312" w:eastAsia="楷体_GB2312" w:cs="楷体_GB2312"/>
          <w:sz w:val="32"/>
          <w:szCs w:val="32"/>
        </w:rPr>
      </w:pPr>
    </w:p>
    <w:p w14:paraId="4B7E5916">
      <w:pPr>
        <w:rPr>
          <w:rFonts w:ascii="楷体_GB2312" w:hAnsi="楷体_GB2312" w:eastAsia="楷体_GB2312" w:cs="楷体_GB2312"/>
          <w:sz w:val="32"/>
          <w:szCs w:val="32"/>
        </w:rPr>
      </w:pPr>
    </w:p>
    <w:p w14:paraId="0FE0E3FD">
      <w:pPr>
        <w:rPr>
          <w:rFonts w:ascii="楷体_GB2312" w:hAnsi="楷体_GB2312" w:eastAsia="楷体_GB2312" w:cs="楷体_GB2312"/>
          <w:sz w:val="32"/>
          <w:szCs w:val="32"/>
        </w:rPr>
      </w:pPr>
    </w:p>
    <w:p w14:paraId="2DCEFA0B">
      <w:pPr>
        <w:rPr>
          <w:rFonts w:ascii="楷体_GB2312" w:hAnsi="楷体_GB2312" w:eastAsia="楷体_GB2312" w:cs="楷体_GB2312"/>
          <w:sz w:val="32"/>
          <w:szCs w:val="32"/>
        </w:rPr>
      </w:pPr>
    </w:p>
    <w:p w14:paraId="0EE37D32">
      <w:pPr>
        <w:rPr>
          <w:rFonts w:ascii="楷体_GB2312" w:hAnsi="楷体_GB2312" w:eastAsia="楷体_GB2312" w:cs="楷体_GB2312"/>
          <w:sz w:val="32"/>
          <w:szCs w:val="32"/>
        </w:rPr>
      </w:pPr>
    </w:p>
    <w:p w14:paraId="6513BD77">
      <w:pPr>
        <w:rPr>
          <w:rFonts w:ascii="楷体_GB2312" w:hAnsi="楷体_GB2312" w:eastAsia="楷体_GB2312" w:cs="楷体_GB2312"/>
          <w:sz w:val="32"/>
          <w:szCs w:val="32"/>
        </w:rPr>
      </w:pPr>
    </w:p>
    <w:p w14:paraId="3BFFB0C0">
      <w:pPr>
        <w:rPr>
          <w:rFonts w:ascii="楷体_GB2312" w:hAnsi="楷体_GB2312" w:eastAsia="楷体_GB2312" w:cs="楷体_GB2312"/>
          <w:sz w:val="32"/>
          <w:szCs w:val="32"/>
        </w:rPr>
      </w:pPr>
    </w:p>
    <w:p w14:paraId="4E39BBDF">
      <w:pPr>
        <w:rPr>
          <w:rFonts w:ascii="楷体_GB2312" w:hAnsi="楷体_GB2312" w:eastAsia="楷体_GB2312" w:cs="楷体_GB2312"/>
          <w:sz w:val="32"/>
          <w:szCs w:val="32"/>
        </w:rPr>
      </w:pPr>
    </w:p>
    <w:p w14:paraId="42CBD155">
      <w:pPr>
        <w:rPr>
          <w:rFonts w:ascii="楷体_GB2312" w:hAnsi="楷体_GB2312" w:eastAsia="楷体_GB2312" w:cs="楷体_GB2312"/>
          <w:sz w:val="32"/>
          <w:szCs w:val="32"/>
        </w:rPr>
      </w:pPr>
    </w:p>
    <w:p w14:paraId="064B6CF9">
      <w:pPr>
        <w:rPr>
          <w:rFonts w:ascii="楷体_GB2312" w:hAnsi="楷体_GB2312" w:eastAsia="楷体_GB2312" w:cs="楷体_GB2312"/>
          <w:sz w:val="32"/>
          <w:szCs w:val="32"/>
        </w:rPr>
      </w:pPr>
    </w:p>
    <w:p w14:paraId="614CAEF8">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提案编号:050</w:t>
      </w:r>
    </w:p>
    <w:p w14:paraId="2FE44F42">
      <w:pPr>
        <w:spacing w:line="560" w:lineRule="exact"/>
        <w:rPr>
          <w:rFonts w:ascii="楷体_GB2312" w:hAnsi="方正小标宋简体" w:eastAsia="楷体_GB2312" w:cs="方正小标宋简体"/>
          <w:sz w:val="32"/>
          <w:szCs w:val="32"/>
        </w:rPr>
      </w:pPr>
      <w:r>
        <w:rPr>
          <w:rFonts w:hint="eastAsia" w:ascii="楷体_GB2312" w:hAnsi="楷体_GB2312" w:eastAsia="楷体_GB2312" w:cs="楷体_GB2312"/>
          <w:sz w:val="32"/>
          <w:szCs w:val="32"/>
        </w:rPr>
        <w:t>提案名称:</w:t>
      </w:r>
      <w:r>
        <w:rPr>
          <w:rFonts w:hint="eastAsia" w:ascii="楷体_GB2312" w:hAnsi="方正小标宋简体" w:eastAsia="楷体_GB2312" w:cs="方正小标宋简体"/>
          <w:sz w:val="32"/>
          <w:szCs w:val="32"/>
        </w:rPr>
        <w:t>关于进一步推动学前教育高质量发展的提案</w:t>
      </w:r>
    </w:p>
    <w:p w14:paraId="53E610E8">
      <w:pPr>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人:栾娟娟</w:t>
      </w:r>
    </w:p>
    <w:p w14:paraId="4709C165">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联系方式：18304991312</w:t>
      </w:r>
    </w:p>
    <w:p w14:paraId="71A318E4">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别:特别邀请和归侨侨眷</w:t>
      </w:r>
    </w:p>
    <w:p w14:paraId="3AA736E4">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关于进一步推动学前教育高质量发展的提案</w:t>
      </w:r>
    </w:p>
    <w:p w14:paraId="576BA3AC">
      <w:pPr>
        <w:spacing w:line="560" w:lineRule="exact"/>
        <w:rPr>
          <w:rFonts w:ascii="仿宋" w:hAnsi="仿宋" w:eastAsia="仿宋" w:cs="宋体"/>
          <w:sz w:val="32"/>
          <w:szCs w:val="32"/>
        </w:rPr>
      </w:pPr>
      <w:r>
        <w:rPr>
          <w:rFonts w:hint="eastAsia" w:ascii="黑体" w:hAnsi="黑体" w:eastAsia="黑体" w:cs="宋体"/>
          <w:sz w:val="44"/>
          <w:szCs w:val="44"/>
        </w:rPr>
        <w:t xml:space="preserve">              </w:t>
      </w:r>
    </w:p>
    <w:p w14:paraId="13793F7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前教育作为基础教育的重要组成部分，对幼儿的身心健康、习惯养成、综合素养均起着奠基性作用。近年来，我旗在学前教育上取得了显著进步，教育资源不断优化、教学内容不断丰富，教育成果不断提升，但仍面临诸多挑战，需予以关注和解决。</w:t>
      </w:r>
    </w:p>
    <w:p w14:paraId="745192A2">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一、我旗学前教育情况与现状</w:t>
      </w:r>
    </w:p>
    <w:p w14:paraId="0FFF65E8">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（一）队伍建设有待加强。</w:t>
      </w:r>
      <w:r>
        <w:rPr>
          <w:rFonts w:hint="eastAsia" w:ascii="仿宋_GB2312" w:hAnsi="仿宋_GB2312" w:eastAsia="仿宋_GB2312" w:cs="仿宋_GB2312"/>
          <w:sz w:val="32"/>
          <w:szCs w:val="32"/>
        </w:rPr>
        <w:t>我旗目前幼儿园共39所，其中民办15所，公办24所，教师423人。公办园学前教育专业教师有部分编制在小学，我旗入园幼儿共4350人。当前，学前教育师资存在数量不足与质量不等的问题。部分地区幼师缺口较大，导致班级幼儿数量过多，影响教育教学质量。同时，幼师的专业素养、薪资待遇及职业发展空间等方面存在短板，难以吸引和留住优秀人才，使得幼师队伍稳定性欠佳，影响整体师资水平。</w:t>
      </w:r>
    </w:p>
    <w:p w14:paraId="2489944E">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（二）教育方法需要优化。</w:t>
      </w:r>
      <w:r>
        <w:rPr>
          <w:rFonts w:hint="eastAsia" w:ascii="仿宋_GB2312" w:hAnsi="仿宋_GB2312" w:eastAsia="仿宋_GB2312" w:cs="仿宋_GB2312"/>
          <w:sz w:val="32"/>
          <w:szCs w:val="32"/>
        </w:rPr>
        <w:t>部分幼儿园课程存在小学化倾向，过于注重知识传授，忽视幼儿的身心发展特点和兴趣需求。教学方法也较为单一，缺乏游戏化、体验式等贴合幼儿学习、成长和行为规律的方式方法，难以充分激发幼儿的主动性与创造力，不利于幼儿全面发展。</w:t>
      </w:r>
    </w:p>
    <w:p w14:paraId="6EC1F4E3">
      <w:pPr>
        <w:spacing w:line="560" w:lineRule="exact"/>
        <w:ind w:firstLine="480" w:firstLineChars="150"/>
        <w:rPr>
          <w:rFonts w:ascii="仿宋_GB2312" w:hAnsi="仿宋_GB2312" w:eastAsia="仿宋_GB2312" w:cs="仿宋_GB2312"/>
          <w:sz w:val="32"/>
          <w:szCs w:val="32"/>
        </w:rPr>
      </w:pPr>
      <w:r>
        <w:rPr>
          <w:rFonts w:hint="eastAsia" w:ascii="楷体_GB2312" w:hAnsi="楷体_GB2312" w:eastAsia="楷体_GB2312" w:cs="楷体_GB2312"/>
          <w:sz w:val="32"/>
          <w:szCs w:val="32"/>
        </w:rPr>
        <w:t xml:space="preserve"> （三）人员短缺普遍存在。</w:t>
      </w:r>
      <w:r>
        <w:rPr>
          <w:rFonts w:hint="eastAsia" w:ascii="仿宋_GB2312" w:hAnsi="仿宋_GB2312" w:eastAsia="仿宋_GB2312" w:cs="仿宋_GB2312"/>
          <w:sz w:val="32"/>
          <w:szCs w:val="32"/>
        </w:rPr>
        <w:t>通过对多所幼儿园的调研发现，不少幼儿园保健人员数量难以满足实际需求。部分小规模幼儿园仅配备一名保健人员，有的幼儿园由教师兼任，保健工作难以细致、全面地开展。在应对幼儿突发疾病、日常健康检查以及卫生保健等多方面工作时，人手短缺问题尤为突出，容易造成工作的疏漏与延误。</w:t>
      </w:r>
    </w:p>
    <w:p w14:paraId="1D20A0B5">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（四）专业素养参差不齐。</w:t>
      </w:r>
      <w:r>
        <w:rPr>
          <w:rFonts w:hint="eastAsia" w:ascii="仿宋_GB2312" w:hAnsi="仿宋_GB2312" w:eastAsia="仿宋_GB2312" w:cs="仿宋_GB2312"/>
          <w:sz w:val="32"/>
          <w:szCs w:val="32"/>
        </w:rPr>
        <w:t>由于缺乏统一、严格的专业准入标准，幼儿园保健人员的专业差异较大。部分保健人员虽有一定的医护经验，但缺乏幼儿保健领域的专业知识与技能培训；而一些非专业出身的保健人员，在应对幼儿常见疾病的预防、急救处理以及营养膳食搭配等专业问题时，往往显得力不从心，难以提供科学、精准的保健服务。</w:t>
      </w:r>
    </w:p>
    <w:p w14:paraId="34C9C443">
      <w:pPr>
        <w:spacing w:line="560" w:lineRule="exact"/>
        <w:ind w:firstLine="640" w:firstLineChars="200"/>
        <w:rPr>
          <w:rFonts w:ascii="仿宋" w:hAnsi="仿宋" w:eastAsia="仿宋" w:cs="方正仿宋_GB2312"/>
          <w:sz w:val="32"/>
          <w:szCs w:val="32"/>
        </w:rPr>
      </w:pPr>
      <w:r>
        <w:rPr>
          <w:rFonts w:hint="eastAsia" w:ascii="黑体" w:hAnsi="黑体" w:eastAsia="黑体" w:cs="方正仿宋_GB2312"/>
          <w:sz w:val="32"/>
          <w:szCs w:val="32"/>
        </w:rPr>
        <w:t>二、安吉模式的经验与启发</w:t>
      </w:r>
    </w:p>
    <w:p w14:paraId="1C1A655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安吉幼儿教育模式（亦称：安吉游戏），是一种以幼儿自主游戏为核心的学前教育模式，起源于浙江安吉。其核心理念是“让孩子做自己游戏的主宰”，强调自主游戏、自我学习、自我建构和互助互动。在游戏过程中，幼儿可以自己选择喜欢的游戏、与谁玩、怎么玩、用什么东西玩，完全自己做主、自己决定、自己安排，教师在游戏中主要做好基本的安全监护，机制支持、鼓励幼儿，与幼儿默契快乐地配合。安吉游戏突破了传统的幼儿教育形式，对游戏的环境、方式、主体等进行了重大革新，得到了国际学前教育界的高度肯定。其作用主要体现在：</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在幼儿发展方面，通过大量的户外游戏，全面加强幼儿的身体动作发展；通过自主探索，尝试解决问题，提高孩子的认知能力；通过合作、共享、协商，提高孩子的社交能力。</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在教育教学方面。促进教育观念的转变，教师由主导者转变为观察者、支持者，进一步提升教师的观察能力，进而优化课程设计、环境创设、个别指导等教育实践。</w:t>
      </w:r>
      <w:r>
        <w:rPr>
          <w:rFonts w:hint="eastAsia" w:ascii="仿宋_GB2312" w:hAnsi="仿宋_GB2312" w:eastAsia="仿宋_GB2312" w:cs="仿宋_GB2312"/>
          <w:b/>
          <w:sz w:val="32"/>
          <w:szCs w:val="32"/>
        </w:rPr>
        <w:t>三是</w:t>
      </w:r>
      <w:r>
        <w:rPr>
          <w:rFonts w:hint="eastAsia" w:ascii="仿宋_GB2312" w:hAnsi="仿宋_GB2312" w:eastAsia="仿宋_GB2312" w:cs="仿宋_GB2312"/>
          <w:sz w:val="32"/>
          <w:szCs w:val="32"/>
        </w:rPr>
        <w:t>在保教环境方面，全面打造优质游戏环境，加强家园合作，亲子互动、亲园互动，进一步形成良好的园所文化，以教育、启智、自由、创造的幼教精神助力幼儿成长。其经验是以良好的环境创设为基础，以教师的角色转换为关键，以家园共育为保障，着力打造适合幼儿特点的教育模式与体验，促进幼儿茁壮成长。</w:t>
      </w:r>
    </w:p>
    <w:p w14:paraId="7B8836A1">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三、推进我旗学前教育的几点建议</w:t>
      </w:r>
    </w:p>
    <w:p w14:paraId="07800DB5">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（一）优化师资队伍。</w:t>
      </w:r>
      <w:r>
        <w:rPr>
          <w:rFonts w:hint="eastAsia" w:ascii="仿宋_GB2312" w:hAnsi="仿宋_GB2312" w:eastAsia="仿宋_GB2312" w:cs="仿宋_GB2312"/>
          <w:sz w:val="32"/>
          <w:szCs w:val="32"/>
        </w:rPr>
        <w:t>加大幼师培养力度，定向培养面向农村及偏远地区的幼师人才，保障师资数量充足；加强在职幼师培训，优化培训内容，提升幼师队伍整体素质；增加专业保健医师配置。按标准、按需求，因园因地施策，确保配置合理，保证需求。</w:t>
      </w:r>
    </w:p>
    <w:p w14:paraId="7C2E543A">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（二）缩小城乡差距。</w:t>
      </w:r>
      <w:r>
        <w:rPr>
          <w:rFonts w:hint="eastAsia" w:ascii="仿宋_GB2312" w:hAnsi="仿宋_GB2312" w:eastAsia="仿宋_GB2312" w:cs="仿宋_GB2312"/>
          <w:sz w:val="32"/>
          <w:szCs w:val="32"/>
        </w:rPr>
        <w:t>加大对农村学前教育的资金投入和政策扶持，改善和提高农村幼儿园的基础设施、办园条件、资源配置，确保与城镇幼儿园同标准、同进步；施行城乡幼儿园结对帮扶、教师轮岗等制度，促进教育资源共享、理念方法互通，提升农村学前教育质量；鼓励优秀幼儿教师到农村任教，给予相应补贴和优惠政策，充实农村学前教育师资力量。</w:t>
      </w:r>
    </w:p>
    <w:p w14:paraId="032D2E6C">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（三）创新教育理念。</w:t>
      </w:r>
      <w:r>
        <w:rPr>
          <w:rFonts w:hint="eastAsia" w:ascii="仿宋_GB2312" w:hAnsi="仿宋_GB2312" w:eastAsia="仿宋_GB2312" w:cs="仿宋_GB2312"/>
          <w:sz w:val="32"/>
          <w:szCs w:val="32"/>
        </w:rPr>
        <w:t>以安吉模式为指导，从本地实际出发，制定科学合理的课程和实践标准，除常规教育内容外，支持各园从实际出发，开发以游戏为基本活动形式、涵盖健康、语言、社会、科学、艺术等多领域的综合性课程，丰富教育内容；推广游戏化教学、项目式学习等先进教学理念，创设丰富有趣的教学情境，让幼儿在自主探索、亲身体验中快乐学习、健康成长。</w:t>
      </w:r>
    </w:p>
    <w:p w14:paraId="2B235BDB">
      <w:pPr>
        <w:spacing w:line="560" w:lineRule="exact"/>
        <w:ind w:firstLine="640" w:firstLineChars="200"/>
        <w:rPr>
          <w:rFonts w:ascii="仿宋_GB2312" w:hAnsi="仿宋_GB2312" w:eastAsia="仿宋_GB2312" w:cs="仿宋_GB2312"/>
          <w:sz w:val="32"/>
          <w:szCs w:val="32"/>
        </w:rPr>
      </w:pPr>
    </w:p>
    <w:p w14:paraId="7C67840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2FD4D209">
      <w:pPr>
        <w:spacing w:line="560" w:lineRule="exact"/>
        <w:ind w:firstLine="640" w:firstLineChars="200"/>
        <w:rPr>
          <w:rFonts w:ascii="仿宋" w:hAnsi="仿宋" w:eastAsia="仿宋" w:cs="方正仿宋_GB2312"/>
          <w:sz w:val="32"/>
          <w:szCs w:val="32"/>
        </w:rPr>
      </w:pPr>
    </w:p>
    <w:p w14:paraId="5E0337D6">
      <w:pPr>
        <w:rPr>
          <w:rFonts w:ascii="仿宋" w:hAnsi="仿宋" w:eastAsia="仿宋"/>
          <w:sz w:val="32"/>
          <w:szCs w:val="32"/>
        </w:rPr>
      </w:pPr>
    </w:p>
    <w:p w14:paraId="5B9F19A5">
      <w:pPr>
        <w:spacing w:line="600" w:lineRule="exact"/>
        <w:rPr>
          <w:rFonts w:ascii="楷体_GB2312" w:hAnsi="楷体" w:eastAsia="楷体_GB2312" w:cs="仿宋_GB2312"/>
          <w:bCs/>
          <w:spacing w:val="-17"/>
          <w:sz w:val="32"/>
          <w:szCs w:val="32"/>
        </w:rPr>
      </w:pPr>
    </w:p>
    <w:p w14:paraId="7ACE7628">
      <w:pPr>
        <w:spacing w:line="600" w:lineRule="exact"/>
        <w:rPr>
          <w:rFonts w:ascii="楷体_GB2312" w:hAnsi="楷体" w:eastAsia="楷体_GB2312" w:cs="仿宋_GB2312"/>
          <w:bCs/>
          <w:spacing w:val="-17"/>
          <w:sz w:val="32"/>
          <w:szCs w:val="32"/>
        </w:rPr>
      </w:pPr>
    </w:p>
    <w:p w14:paraId="7BBE299F">
      <w:pPr>
        <w:spacing w:line="600" w:lineRule="exact"/>
        <w:rPr>
          <w:rFonts w:ascii="楷体_GB2312" w:hAnsi="楷体" w:eastAsia="楷体_GB2312" w:cs="仿宋_GB2312"/>
          <w:bCs/>
          <w:spacing w:val="-17"/>
          <w:sz w:val="32"/>
          <w:szCs w:val="32"/>
        </w:rPr>
      </w:pPr>
    </w:p>
    <w:p w14:paraId="46CEB52C">
      <w:pPr>
        <w:spacing w:line="600" w:lineRule="exact"/>
        <w:rPr>
          <w:rFonts w:ascii="楷体_GB2312" w:hAnsi="楷体" w:eastAsia="楷体_GB2312" w:cs="仿宋_GB2312"/>
          <w:bCs/>
          <w:spacing w:val="-17"/>
          <w:sz w:val="32"/>
          <w:szCs w:val="32"/>
        </w:rPr>
      </w:pPr>
    </w:p>
    <w:p w14:paraId="1DE5E8B2">
      <w:pPr>
        <w:spacing w:line="600" w:lineRule="exact"/>
        <w:rPr>
          <w:rFonts w:ascii="楷体_GB2312" w:hAnsi="楷体" w:eastAsia="楷体_GB2312" w:cs="仿宋_GB2312"/>
          <w:bCs/>
          <w:spacing w:val="-17"/>
          <w:sz w:val="32"/>
          <w:szCs w:val="32"/>
        </w:rPr>
      </w:pPr>
    </w:p>
    <w:p w14:paraId="72FECDFE">
      <w:pPr>
        <w:spacing w:line="600" w:lineRule="exact"/>
        <w:rPr>
          <w:rFonts w:ascii="楷体_GB2312" w:hAnsi="楷体" w:eastAsia="楷体_GB2312" w:cs="仿宋_GB2312"/>
          <w:bCs/>
          <w:spacing w:val="-17"/>
          <w:sz w:val="32"/>
          <w:szCs w:val="32"/>
        </w:rPr>
      </w:pPr>
    </w:p>
    <w:p w14:paraId="081887A5">
      <w:pPr>
        <w:spacing w:line="600" w:lineRule="exact"/>
        <w:rPr>
          <w:rFonts w:ascii="楷体_GB2312" w:hAnsi="楷体" w:eastAsia="楷体_GB2312" w:cs="仿宋_GB2312"/>
          <w:bCs/>
          <w:spacing w:val="-17"/>
          <w:sz w:val="32"/>
          <w:szCs w:val="32"/>
        </w:rPr>
      </w:pPr>
    </w:p>
    <w:p w14:paraId="6CBD54A9">
      <w:pPr>
        <w:spacing w:line="600" w:lineRule="exact"/>
        <w:rPr>
          <w:rFonts w:ascii="楷体_GB2312" w:hAnsi="楷体" w:eastAsia="楷体_GB2312" w:cs="仿宋_GB2312"/>
          <w:bCs/>
          <w:spacing w:val="-17"/>
          <w:sz w:val="32"/>
          <w:szCs w:val="32"/>
        </w:rPr>
      </w:pPr>
    </w:p>
    <w:p w14:paraId="61BBBC31">
      <w:pPr>
        <w:spacing w:line="600" w:lineRule="exact"/>
        <w:rPr>
          <w:rFonts w:ascii="楷体_GB2312" w:hAnsi="楷体" w:eastAsia="楷体_GB2312" w:cs="仿宋_GB2312"/>
          <w:bCs/>
          <w:spacing w:val="-17"/>
          <w:sz w:val="32"/>
          <w:szCs w:val="32"/>
        </w:rPr>
      </w:pPr>
    </w:p>
    <w:p w14:paraId="548A3BE5">
      <w:pPr>
        <w:spacing w:line="600" w:lineRule="exact"/>
        <w:rPr>
          <w:rFonts w:ascii="楷体_GB2312" w:hAnsi="楷体" w:eastAsia="楷体_GB2312" w:cs="仿宋_GB2312"/>
          <w:bCs/>
          <w:spacing w:val="-17"/>
          <w:sz w:val="32"/>
          <w:szCs w:val="32"/>
        </w:rPr>
      </w:pPr>
    </w:p>
    <w:p w14:paraId="2AD0AABD">
      <w:pPr>
        <w:spacing w:line="600" w:lineRule="exact"/>
        <w:rPr>
          <w:rFonts w:ascii="楷体_GB2312" w:hAnsi="楷体" w:eastAsia="楷体_GB2312" w:cs="仿宋_GB2312"/>
          <w:bCs/>
          <w:spacing w:val="-17"/>
          <w:sz w:val="32"/>
          <w:szCs w:val="32"/>
        </w:rPr>
      </w:pPr>
    </w:p>
    <w:p w14:paraId="2D823411">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提案编号：051</w:t>
      </w:r>
    </w:p>
    <w:p w14:paraId="359FEFB4">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提案名称：关于喀喇沁旗增设养老机构的提案</w:t>
      </w:r>
    </w:p>
    <w:p w14:paraId="15E92E1E">
      <w:pPr>
        <w:spacing w:line="600" w:lineRule="exact"/>
        <w:rPr>
          <w:rFonts w:ascii="楷体_GB2312" w:hAnsi="楷体" w:eastAsia="楷体_GB2312" w:cs="仿宋_GB2312"/>
          <w:bCs/>
          <w:spacing w:val="-17"/>
          <w:sz w:val="32"/>
          <w:szCs w:val="32"/>
        </w:rPr>
      </w:pPr>
      <w:r>
        <w:rPr>
          <w:rFonts w:hint="eastAsia" w:ascii="楷体_GB2312" w:hAnsi="楷体" w:eastAsia="楷体_GB2312" w:cs="仿宋_GB2312"/>
          <w:bCs/>
          <w:spacing w:val="-30"/>
          <w:sz w:val="32"/>
          <w:szCs w:val="32"/>
        </w:rPr>
        <w:t>提  案  人</w:t>
      </w:r>
      <w:r>
        <w:rPr>
          <w:rFonts w:hint="eastAsia" w:ascii="楷体_GB2312" w:hAnsi="楷体" w:eastAsia="楷体_GB2312" w:cs="仿宋_GB2312"/>
          <w:bCs/>
          <w:spacing w:val="-17"/>
          <w:sz w:val="32"/>
          <w:szCs w:val="32"/>
        </w:rPr>
        <w:t>： 张锐歆</w:t>
      </w:r>
    </w:p>
    <w:p w14:paraId="4843A89F">
      <w:pPr>
        <w:jc w:val="left"/>
        <w:rPr>
          <w:b/>
          <w:bCs/>
          <w:sz w:val="44"/>
          <w:szCs w:val="44"/>
        </w:rPr>
      </w:pPr>
      <w:r>
        <w:rPr>
          <w:rFonts w:hint="eastAsia" w:ascii="楷体_GB2312" w:hAnsi="楷体" w:eastAsia="楷体_GB2312" w:cs="仿宋_GB2312"/>
          <w:bCs/>
          <w:spacing w:val="-17"/>
          <w:sz w:val="32"/>
          <w:szCs w:val="32"/>
        </w:rPr>
        <w:t>联系方式</w:t>
      </w:r>
      <w:r>
        <w:rPr>
          <w:rFonts w:hint="eastAsia" w:ascii="楷体_GB2312" w:hAnsi="楷体" w:eastAsia="楷体_GB2312" w:cs="仿宋_GB2312"/>
          <w:sz w:val="32"/>
          <w:szCs w:val="32"/>
        </w:rPr>
        <w:t>：15326884000</w:t>
      </w:r>
    </w:p>
    <w:p w14:paraId="09FF5495">
      <w:pPr>
        <w:rPr>
          <w:rFonts w:ascii="楷体_GB2312" w:eastAsia="楷体_GB2312"/>
          <w:bCs/>
          <w:sz w:val="32"/>
          <w:szCs w:val="32"/>
        </w:rPr>
      </w:pPr>
      <w:r>
        <w:rPr>
          <w:rFonts w:hint="eastAsia" w:ascii="楷体_GB2312" w:eastAsia="楷体_GB2312"/>
          <w:bCs/>
          <w:sz w:val="32"/>
          <w:szCs w:val="32"/>
        </w:rPr>
        <w:t>界   别：工商业联合会</w:t>
      </w:r>
    </w:p>
    <w:p w14:paraId="60F95F48">
      <w:pPr>
        <w:jc w:val="center"/>
        <w:rPr>
          <w:rFonts w:ascii="方正小标宋简体" w:eastAsia="方正小标宋简体"/>
          <w:bCs/>
          <w:sz w:val="44"/>
          <w:szCs w:val="44"/>
        </w:rPr>
      </w:pPr>
      <w:r>
        <w:rPr>
          <w:rFonts w:hint="eastAsia" w:ascii="方正小标宋简体" w:eastAsia="方正小标宋简体"/>
          <w:bCs/>
          <w:sz w:val="44"/>
          <w:szCs w:val="44"/>
        </w:rPr>
        <w:t>关于喀喇沁旗增设养老机构的提案</w:t>
      </w:r>
    </w:p>
    <w:p w14:paraId="36268CC9">
      <w:pPr>
        <w:spacing w:line="560" w:lineRule="exact"/>
        <w:rPr>
          <w:rFonts w:ascii="黑体" w:hAnsi="黑体" w:eastAsia="黑体"/>
          <w:sz w:val="32"/>
          <w:szCs w:val="32"/>
        </w:rPr>
      </w:pPr>
      <w:r>
        <w:rPr>
          <w:rFonts w:ascii="黑体" w:hAnsi="黑体" w:eastAsia="黑体"/>
          <w:sz w:val="32"/>
          <w:szCs w:val="32"/>
        </w:rPr>
        <w:t>一、</w:t>
      </w:r>
      <w:r>
        <w:rPr>
          <w:rFonts w:hint="eastAsia" w:ascii="黑体" w:hAnsi="黑体" w:eastAsia="黑体"/>
          <w:sz w:val="32"/>
          <w:szCs w:val="32"/>
        </w:rPr>
        <w:t>基本情况</w:t>
      </w:r>
    </w:p>
    <w:p w14:paraId="49E496CB">
      <w:pPr>
        <w:pStyle w:val="32"/>
        <w:ind w:left="-283" w:leftChars="-135" w:firstLine="640" w:firstLineChars="200"/>
        <w:rPr>
          <w:rFonts w:ascii="仿宋_GB2312" w:eastAsia="仿宋_GB2312"/>
          <w:sz w:val="32"/>
          <w:szCs w:val="32"/>
        </w:rPr>
      </w:pPr>
      <w:r>
        <w:rPr>
          <w:rFonts w:ascii="仿宋_GB2312" w:eastAsia="仿宋_GB2312"/>
          <w:sz w:val="32"/>
          <w:szCs w:val="32"/>
        </w:rPr>
        <w:t>随着我国人口老龄化进程的加速，养老问题日益成为社会关注的焦点。</w:t>
      </w:r>
      <w:r>
        <w:rPr>
          <w:rFonts w:hint="eastAsia" w:ascii="仿宋_GB2312" w:eastAsia="仿宋_GB2312"/>
          <w:sz w:val="32"/>
          <w:szCs w:val="32"/>
        </w:rPr>
        <w:t>我旗</w:t>
      </w:r>
      <w:r>
        <w:rPr>
          <w:rFonts w:ascii="仿宋_GB2312" w:eastAsia="仿宋_GB2312"/>
          <w:sz w:val="32"/>
          <w:szCs w:val="32"/>
        </w:rPr>
        <w:t>也面临着严峻的老龄化挑战，预计在未来几年内将达到一个新的高峰。然而，与快速增长的老年人口形成鲜明对比的是，</w:t>
      </w:r>
      <w:r>
        <w:rPr>
          <w:rFonts w:hint="eastAsia" w:ascii="仿宋_GB2312" w:eastAsia="仿宋_GB2312"/>
          <w:sz w:val="32"/>
          <w:szCs w:val="32"/>
        </w:rPr>
        <w:t>我</w:t>
      </w:r>
      <w:r>
        <w:rPr>
          <w:rFonts w:ascii="仿宋_GB2312" w:eastAsia="仿宋_GB2312"/>
          <w:sz w:val="32"/>
          <w:szCs w:val="32"/>
        </w:rPr>
        <w:t>旗</w:t>
      </w:r>
      <w:r>
        <w:rPr>
          <w:rFonts w:hint="eastAsia" w:ascii="仿宋_GB2312" w:eastAsia="仿宋_GB2312"/>
          <w:sz w:val="32"/>
          <w:szCs w:val="32"/>
        </w:rPr>
        <w:t>虽有社区养老服务站、农村敬老院及养老服务中心，但是相对老龄人口数量，</w:t>
      </w:r>
      <w:r>
        <w:rPr>
          <w:rFonts w:ascii="仿宋_GB2312" w:eastAsia="仿宋_GB2312"/>
          <w:sz w:val="32"/>
          <w:szCs w:val="32"/>
        </w:rPr>
        <w:t>正规的养老机构</w:t>
      </w:r>
      <w:r>
        <w:rPr>
          <w:rFonts w:hint="eastAsia" w:ascii="仿宋_GB2312" w:eastAsia="仿宋_GB2312"/>
          <w:sz w:val="32"/>
          <w:szCs w:val="32"/>
        </w:rPr>
        <w:t>目前偏少</w:t>
      </w:r>
      <w:r>
        <w:rPr>
          <w:rFonts w:ascii="仿宋_GB2312" w:eastAsia="仿宋_GB2312"/>
          <w:sz w:val="32"/>
          <w:szCs w:val="32"/>
        </w:rPr>
        <w:t>，现有的养老服务设施远远无法满足老年人的需求。</w:t>
      </w:r>
    </w:p>
    <w:p w14:paraId="6702A9F3">
      <w:pPr>
        <w:pStyle w:val="32"/>
        <w:ind w:left="-283" w:leftChars="-135" w:firstLine="640" w:firstLineChars="200"/>
        <w:rPr>
          <w:rFonts w:ascii="仿宋_GB2312" w:eastAsia="仿宋_GB2312"/>
          <w:sz w:val="32"/>
          <w:szCs w:val="32"/>
        </w:rPr>
      </w:pPr>
      <w:r>
        <w:rPr>
          <w:rFonts w:ascii="仿宋_GB2312" w:eastAsia="仿宋_GB2312"/>
          <w:sz w:val="32"/>
          <w:szCs w:val="32"/>
        </w:rPr>
        <w:t>当前，喀喇沁旗的养老服务主要依赖于家庭养老和一些小型的、非正规的养老场所。家庭养老在传统观念的影响下，仍然是大多数老年人的首选方式。但随着现代社会生活节奏的加快，家庭结构逐渐小型化，子女往往面临着工作和生活的双重压力，难以全身心地照顾老人。而那些非正规的养老场所，普遍存在设施简陋、服务质量不高、缺乏专业护理人员等问题，无法为老年人提供全面、优质的养老服务。</w:t>
      </w:r>
    </w:p>
    <w:p w14:paraId="7F6112C3">
      <w:pPr>
        <w:spacing w:line="560" w:lineRule="exact"/>
        <w:ind w:left="-283" w:leftChars="-135" w:firstLine="640" w:firstLineChars="200"/>
        <w:rPr>
          <w:rFonts w:ascii="仿宋_GB2312" w:hAnsi="Arial" w:eastAsia="仿宋_GB2312" w:cs="Arial"/>
          <w:kern w:val="0"/>
          <w:sz w:val="32"/>
          <w:szCs w:val="32"/>
        </w:rPr>
      </w:pPr>
      <w:r>
        <w:rPr>
          <w:rFonts w:ascii="仿宋_GB2312" w:hAnsi="Arial" w:eastAsia="仿宋_GB2312" w:cs="Arial"/>
          <w:kern w:val="0"/>
          <w:sz w:val="32"/>
          <w:szCs w:val="32"/>
        </w:rPr>
        <w:t>这种养老机构的</w:t>
      </w:r>
      <w:r>
        <w:rPr>
          <w:rFonts w:hint="eastAsia" w:ascii="仿宋_GB2312" w:hAnsi="Arial" w:eastAsia="仿宋_GB2312" w:cs="Arial"/>
          <w:kern w:val="0"/>
          <w:sz w:val="32"/>
          <w:szCs w:val="32"/>
        </w:rPr>
        <w:t>不足</w:t>
      </w:r>
      <w:r>
        <w:rPr>
          <w:rFonts w:ascii="仿宋_GB2312" w:hAnsi="Arial" w:eastAsia="仿宋_GB2312" w:cs="Arial"/>
          <w:kern w:val="0"/>
          <w:sz w:val="32"/>
          <w:szCs w:val="32"/>
        </w:rPr>
        <w:t>，不仅给老年人的生活带来了诸多不便，也对社会的和谐发展产生了一定的影响。因此，建设正规的养老机构，完善喀喇沁旗的养老服务体系，已成为当务之急。</w:t>
      </w:r>
    </w:p>
    <w:p w14:paraId="1E0DAE85">
      <w:pPr>
        <w:spacing w:line="600" w:lineRule="exact"/>
        <w:rPr>
          <w:rFonts w:ascii="仿宋_GB2312" w:hAnsi="仿宋" w:eastAsia="仿宋_GB2312"/>
          <w:sz w:val="32"/>
          <w:szCs w:val="32"/>
        </w:rPr>
      </w:pPr>
      <w:r>
        <w:rPr>
          <w:rFonts w:hint="eastAsia" w:ascii="黑体" w:hAnsi="黑体" w:eastAsia="黑体"/>
          <w:sz w:val="32"/>
          <w:szCs w:val="32"/>
        </w:rPr>
        <w:t>二、存在问题</w:t>
      </w:r>
    </w:p>
    <w:p w14:paraId="4B422F26">
      <w:pPr>
        <w:spacing w:line="560" w:lineRule="exact"/>
        <w:ind w:firstLine="281" w:firstLineChars="88"/>
        <w:rPr>
          <w:rFonts w:ascii="楷体_GB2312" w:eastAsia="楷体_GB2312"/>
          <w:bCs/>
          <w:sz w:val="32"/>
          <w:szCs w:val="32"/>
        </w:rPr>
      </w:pPr>
      <w:r>
        <w:rPr>
          <w:rFonts w:hint="eastAsia" w:ascii="楷体_GB2312" w:eastAsia="楷体_GB2312"/>
          <w:bCs/>
          <w:sz w:val="32"/>
          <w:szCs w:val="32"/>
        </w:rPr>
        <w:t>1、资金短缺问题：</w:t>
      </w:r>
    </w:p>
    <w:p w14:paraId="16853609">
      <w:pPr>
        <w:pStyle w:val="32"/>
        <w:ind w:left="-283" w:leftChars="-135" w:firstLine="640" w:firstLineChars="200"/>
        <w:rPr>
          <w:rFonts w:ascii="仿宋_GB2312" w:eastAsia="仿宋_GB2312"/>
          <w:sz w:val="32"/>
          <w:szCs w:val="32"/>
        </w:rPr>
      </w:pPr>
      <w:r>
        <w:rPr>
          <w:rFonts w:ascii="仿宋_GB2312" w:eastAsia="仿宋_GB2312"/>
          <w:sz w:val="32"/>
          <w:szCs w:val="32"/>
        </w:rPr>
        <w:t>养老机构的建设和运营需要大量资金投入。在建设阶段，土地购置、建筑施工、设施设备采购等方面都需要巨额资金。然而，喀喇沁旗的财政收入有限，对养老机构建设的资金支持相对不足。同时，社会资本对养老机构的投资积极性不高，主要原因是养老行业投资回报周期长、风险较大，导致资金来源渠道狭窄。资金短缺严重影响了养老机构的建设进度和服务质量。一些养老机构因资金不足，无法按照规划进行建设，导致设施不完善；在运营过程中，资金短缺使得养老机构难以提供优质的服务，如无法及时更新设备、提高员工待遇等，进而影响了养老机构的吸引力和可持续发展能力 。</w:t>
      </w:r>
    </w:p>
    <w:p w14:paraId="2D75E2FD">
      <w:pPr>
        <w:spacing w:line="560" w:lineRule="exact"/>
        <w:ind w:left="-284" w:firstLine="563" w:firstLineChars="176"/>
        <w:rPr>
          <w:rFonts w:ascii="楷体_GB2312" w:eastAsia="楷体_GB2312"/>
          <w:sz w:val="32"/>
          <w:szCs w:val="32"/>
        </w:rPr>
      </w:pPr>
      <w:r>
        <w:rPr>
          <w:rFonts w:hint="eastAsia" w:ascii="楷体_GB2312" w:eastAsia="楷体_GB2312"/>
          <w:bCs/>
          <w:sz w:val="32"/>
          <w:szCs w:val="32"/>
        </w:rPr>
        <w:t>2、专业人才匮乏</w:t>
      </w:r>
      <w:r>
        <w:rPr>
          <w:rFonts w:hint="eastAsia" w:ascii="楷体_GB2312" w:eastAsia="楷体_GB2312"/>
          <w:sz w:val="32"/>
          <w:szCs w:val="32"/>
        </w:rPr>
        <w:t>：</w:t>
      </w:r>
    </w:p>
    <w:p w14:paraId="2DDBF207">
      <w:pPr>
        <w:pStyle w:val="32"/>
        <w:ind w:left="-283" w:leftChars="-135" w:firstLine="640" w:firstLineChars="200"/>
        <w:rPr>
          <w:rFonts w:ascii="仿宋_GB2312" w:eastAsia="仿宋_GB2312" w:hAnsiTheme="minorHAnsi" w:cstheme="minorBidi"/>
          <w:kern w:val="2"/>
          <w:sz w:val="32"/>
          <w:szCs w:val="32"/>
        </w:rPr>
      </w:pPr>
      <w:r>
        <w:rPr>
          <w:rFonts w:ascii="仿宋_GB2312" w:eastAsia="仿宋_GB2312" w:hAnsiTheme="minorHAnsi" w:cstheme="minorBidi"/>
          <w:kern w:val="2"/>
          <w:sz w:val="32"/>
          <w:szCs w:val="32"/>
        </w:rPr>
        <w:t>目前，喀喇沁旗养老机构普遍存在专业人才匮乏的问题。在护理人员方面，不仅数量不足，而且专业素质不高。大多数护理人员没有接受过系统的专业培训，缺乏专业的护理知识和技能，难以满足老年人日益增长的护理需求。在管理人才方面，具备养老机构管理经验和专业知识的人才稀缺。许多养老机构的管理人员缺乏科学的管理理念和方法，导致机构管理混乱，服务质量难以提升。此外，由于养老机构工作强度大、待遇不高，难以吸引和留住专业人才，进一步加剧了人才短缺的问题 。</w:t>
      </w:r>
    </w:p>
    <w:p w14:paraId="6789B9A4">
      <w:pPr>
        <w:spacing w:line="560" w:lineRule="exact"/>
        <w:ind w:left="-284" w:firstLine="563" w:firstLineChars="176"/>
        <w:rPr>
          <w:rFonts w:ascii="楷体_GB2312" w:eastAsia="楷体_GB2312"/>
          <w:sz w:val="32"/>
          <w:szCs w:val="32"/>
        </w:rPr>
      </w:pPr>
      <w:r>
        <w:rPr>
          <w:rFonts w:hint="eastAsia" w:ascii="楷体_GB2312" w:eastAsia="楷体_GB2312"/>
          <w:bCs/>
          <w:sz w:val="32"/>
          <w:szCs w:val="32"/>
        </w:rPr>
        <w:t>3、服务质量参差不齐</w:t>
      </w:r>
      <w:r>
        <w:rPr>
          <w:rFonts w:hint="eastAsia" w:ascii="楷体_GB2312" w:eastAsia="楷体_GB2312"/>
          <w:sz w:val="32"/>
          <w:szCs w:val="32"/>
        </w:rPr>
        <w:t>：</w:t>
      </w:r>
    </w:p>
    <w:p w14:paraId="20C50249">
      <w:pPr>
        <w:pStyle w:val="32"/>
        <w:ind w:left="-286" w:leftChars="-136" w:firstLine="640" w:firstLineChars="200"/>
        <w:rPr>
          <w:rFonts w:ascii="仿宋_GB2312" w:eastAsia="仿宋_GB2312"/>
          <w:sz w:val="32"/>
          <w:szCs w:val="32"/>
        </w:rPr>
      </w:pPr>
      <w:r>
        <w:rPr>
          <w:rFonts w:ascii="仿宋_GB2312" w:eastAsia="仿宋_GB2312"/>
          <w:sz w:val="32"/>
          <w:szCs w:val="32"/>
        </w:rPr>
        <w:t>部分养老机构存在服务质量不高的情况。一些养老机构只注重硬件设施建设，忽视了服务质量的提升，服务内容单一，仅提供基本的生活照料服务，缺乏个性化、专业化的服务。例如，在医疗护理服务方面，无法为老年人提供全面的健康管理和康复护理服务；在文化娱乐服务方面，活动形式单调，不能满足老年人的精神文化需求。服务质量参差不齐的原因主要包括管理不善、人员培训不到位等。一些养老机构缺乏完善的管理制度和服务标准，对员工的工作监督和考核不力，导致员工服务意识淡薄，工作积极性不高。同时，由于缺乏有效的培训机制，员工的专业技能和服务水平难以得到提升，从而影响了养老机构的整体服务质量 。</w:t>
      </w:r>
    </w:p>
    <w:p w14:paraId="486A4479">
      <w:pPr>
        <w:spacing w:line="560" w:lineRule="exact"/>
        <w:rPr>
          <w:rFonts w:ascii="黑体" w:hAnsi="黑体" w:eastAsia="黑体"/>
          <w:sz w:val="32"/>
          <w:szCs w:val="32"/>
        </w:rPr>
      </w:pPr>
      <w:r>
        <w:rPr>
          <w:rFonts w:hint="eastAsia" w:ascii="黑体" w:hAnsi="黑体" w:eastAsia="黑体"/>
          <w:sz w:val="32"/>
          <w:szCs w:val="32"/>
        </w:rPr>
        <w:t>三、建议</w:t>
      </w:r>
    </w:p>
    <w:p w14:paraId="342E7CFD">
      <w:pPr>
        <w:spacing w:line="560" w:lineRule="exact"/>
        <w:ind w:right="-340" w:rightChars="-162"/>
        <w:rPr>
          <w:rFonts w:ascii="楷体_GB2312" w:hAnsi="楷体" w:eastAsia="楷体_GB2312"/>
          <w:sz w:val="32"/>
          <w:szCs w:val="32"/>
        </w:rPr>
      </w:pPr>
      <w:r>
        <w:rPr>
          <w:rFonts w:hint="eastAsia" w:ascii="楷体_GB2312" w:hAnsi="楷体" w:eastAsia="楷体_GB2312"/>
          <w:sz w:val="32"/>
          <w:szCs w:val="32"/>
        </w:rPr>
        <w:t>（一）资金筹集与管理策略</w:t>
      </w:r>
    </w:p>
    <w:p w14:paraId="78AC2EF0">
      <w:pPr>
        <w:spacing w:line="560" w:lineRule="exact"/>
        <w:ind w:left="-283" w:leftChars="-135" w:firstLine="565" w:firstLineChars="176"/>
        <w:rPr>
          <w:rFonts w:ascii="仿宋_GB2312" w:eastAsia="仿宋_GB2312"/>
          <w:b/>
          <w:bCs/>
          <w:sz w:val="32"/>
          <w:szCs w:val="32"/>
        </w:rPr>
      </w:pPr>
      <w:r>
        <w:rPr>
          <w:rFonts w:hint="eastAsia" w:ascii="仿宋_GB2312" w:eastAsia="仿宋_GB2312"/>
          <w:b/>
          <w:bCs/>
          <w:sz w:val="32"/>
          <w:szCs w:val="32"/>
        </w:rPr>
        <w:t>1、政府财政支持：</w:t>
      </w:r>
    </w:p>
    <w:p w14:paraId="1E3D68A3">
      <w:pPr>
        <w:spacing w:line="560" w:lineRule="exact"/>
        <w:ind w:left="-283" w:leftChars="-135" w:firstLine="640" w:firstLineChars="200"/>
        <w:rPr>
          <w:rFonts w:ascii="仿宋_GB2312" w:eastAsia="仿宋_GB2312"/>
          <w:sz w:val="32"/>
          <w:szCs w:val="32"/>
        </w:rPr>
      </w:pPr>
      <w:r>
        <w:rPr>
          <w:rFonts w:ascii="仿宋_GB2312" w:eastAsia="仿宋_GB2312"/>
          <w:sz w:val="32"/>
          <w:szCs w:val="32"/>
        </w:rPr>
        <w:t>建议加大政府对养老机构建设的资金投入。设立专项养老基金，每年从财政预算中划出一定比例的资金，用于支持养老机构的新建、改建和扩建项目。同时，政府可以通过财政贴息的方式，降低养老机构建设贷款的成本，减轻其资金压力。对符合条件的养老机构建设项目贷款，给予一定期限的贴息支持，鼓励金融机构积极为养老机构提供融资服务 。</w:t>
      </w:r>
    </w:p>
    <w:p w14:paraId="28F1E776">
      <w:pPr>
        <w:spacing w:line="560" w:lineRule="exact"/>
        <w:ind w:left="-283" w:leftChars="-135" w:firstLine="565" w:firstLineChars="176"/>
        <w:rPr>
          <w:rFonts w:ascii="仿宋_GB2312" w:eastAsia="仿宋_GB2312"/>
          <w:b/>
          <w:bCs/>
          <w:sz w:val="32"/>
          <w:szCs w:val="32"/>
        </w:rPr>
      </w:pPr>
      <w:r>
        <w:rPr>
          <w:rFonts w:hint="eastAsia" w:ascii="仿宋_GB2312" w:eastAsia="仿宋_GB2312"/>
          <w:b/>
          <w:bCs/>
          <w:sz w:val="32"/>
          <w:szCs w:val="32"/>
        </w:rPr>
        <w:t>2、社会资本引入：</w:t>
      </w:r>
    </w:p>
    <w:p w14:paraId="11BD2B64">
      <w:pPr>
        <w:spacing w:line="560" w:lineRule="exact"/>
        <w:ind w:left="-283" w:leftChars="-135" w:firstLine="640" w:firstLineChars="200"/>
        <w:rPr>
          <w:rFonts w:ascii="仿宋_GB2312" w:eastAsia="仿宋_GB2312"/>
          <w:sz w:val="32"/>
          <w:szCs w:val="32"/>
        </w:rPr>
      </w:pPr>
      <w:r>
        <w:rPr>
          <w:rFonts w:ascii="仿宋_GB2312" w:eastAsia="仿宋_GB2312"/>
          <w:sz w:val="32"/>
          <w:szCs w:val="32"/>
        </w:rPr>
        <w:t>积极吸引社会资本参与养老机构建设。政府可以出台一系列优惠政策，如税收减免、土地优惠等。对于投资养老机构建设的企业，给予一定期限的企业所得税减免，如前 3 年免征企业所得税，第 4 - 6 年减半征收企业所得税。在土地供应方面，优先保障养老机构建设用地，并给予一定的地价优惠，如以划拨方式提供土地或按照成本价出让土地 。此外，还可以探索政府与社会资本合作（PPP）的模式，通过政府购买服务、股权合作等方式，吸引社会资本参与养老机构的建设和运营，实现优势互补，共同推动养老机构的发展 。</w:t>
      </w:r>
    </w:p>
    <w:p w14:paraId="74A0EEA0">
      <w:pPr>
        <w:spacing w:line="560" w:lineRule="exact"/>
        <w:ind w:left="-283" w:leftChars="-135" w:firstLine="281" w:firstLineChars="88"/>
        <w:rPr>
          <w:rFonts w:ascii="楷体_GB2312" w:hAnsi="楷体" w:eastAsia="楷体_GB2312"/>
          <w:sz w:val="32"/>
          <w:szCs w:val="32"/>
        </w:rPr>
      </w:pPr>
      <w:r>
        <w:rPr>
          <w:rFonts w:hint="eastAsia" w:ascii="楷体_GB2312" w:hAnsi="楷体" w:eastAsia="楷体_GB2312"/>
          <w:sz w:val="32"/>
          <w:szCs w:val="32"/>
        </w:rPr>
        <w:t>（二）人才培养与引进机制</w:t>
      </w:r>
    </w:p>
    <w:p w14:paraId="6BBB424C">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1、本地人才培养</w:t>
      </w:r>
      <w:r>
        <w:rPr>
          <w:rFonts w:hint="eastAsia" w:ascii="仿宋_GB2312" w:eastAsia="仿宋_GB2312"/>
          <w:sz w:val="32"/>
          <w:szCs w:val="32"/>
        </w:rPr>
        <w:t>：</w:t>
      </w:r>
    </w:p>
    <w:p w14:paraId="5E7DC162">
      <w:pPr>
        <w:pStyle w:val="32"/>
        <w:ind w:left="-283" w:leftChars="-135" w:firstLine="640" w:firstLineChars="200"/>
        <w:rPr>
          <w:rFonts w:ascii="仿宋_GB2312" w:eastAsia="仿宋_GB2312"/>
          <w:sz w:val="32"/>
          <w:szCs w:val="32"/>
        </w:rPr>
      </w:pPr>
      <w:r>
        <w:rPr>
          <w:rFonts w:ascii="仿宋_GB2312" w:eastAsia="仿宋_GB2312" w:hAnsiTheme="minorHAnsi" w:cstheme="minorBidi"/>
          <w:kern w:val="2"/>
          <w:sz w:val="32"/>
          <w:szCs w:val="32"/>
        </w:rPr>
        <w:t>加强与本地院校的合作，建立养老专业人才培养基地。</w:t>
      </w:r>
      <w:r>
        <w:rPr>
          <w:rFonts w:hint="eastAsia" w:ascii="仿宋_GB2312" w:eastAsia="仿宋_GB2312" w:hAnsiTheme="minorHAnsi" w:cstheme="minorBidi"/>
          <w:kern w:val="2"/>
          <w:sz w:val="32"/>
          <w:szCs w:val="32"/>
        </w:rPr>
        <w:t>例如</w:t>
      </w:r>
      <w:r>
        <w:rPr>
          <w:rFonts w:ascii="仿宋_GB2312" w:eastAsia="仿宋_GB2312" w:hAnsiTheme="minorHAnsi" w:cstheme="minorBidi"/>
          <w:kern w:val="2"/>
          <w:sz w:val="32"/>
          <w:szCs w:val="32"/>
        </w:rPr>
        <w:t>与赤峰学院等院校合作，开设养老服务相关专业，如老年护理、养老机构管理等，根据市场需求和行业发展趋势，制定科学合理的课程体系。在课程设置上，注重理论与实践相结合，增加实践教学环节的比重，如安排学生到养老机构进行实习，让学生在实际工作中积累经验，提高专业技能 。同时，定期组织教师到养老机构进行调研和培训，了解行业最新动态和需求，不断更新教学内容，提高教学质量 。</w:t>
      </w:r>
    </w:p>
    <w:p w14:paraId="39932A7E">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2、人才引进政策</w:t>
      </w:r>
      <w:r>
        <w:rPr>
          <w:rFonts w:hint="eastAsia" w:ascii="仿宋_GB2312" w:eastAsia="仿宋_GB2312"/>
          <w:sz w:val="32"/>
          <w:szCs w:val="32"/>
        </w:rPr>
        <w:t>：</w:t>
      </w:r>
    </w:p>
    <w:p w14:paraId="306796E3">
      <w:pPr>
        <w:pStyle w:val="32"/>
        <w:ind w:left="-283" w:leftChars="-135" w:firstLine="640" w:firstLineChars="200"/>
        <w:rPr>
          <w:rFonts w:ascii="仿宋_GB2312" w:eastAsia="仿宋_GB2312"/>
          <w:sz w:val="32"/>
          <w:szCs w:val="32"/>
        </w:rPr>
      </w:pPr>
      <w:r>
        <w:rPr>
          <w:rFonts w:hint="eastAsia" w:ascii="仿宋_GB2312" w:eastAsia="仿宋_GB2312"/>
          <w:sz w:val="32"/>
          <w:szCs w:val="32"/>
        </w:rPr>
        <w:t>政府</w:t>
      </w:r>
      <w:r>
        <w:rPr>
          <w:rFonts w:ascii="仿宋_GB2312" w:eastAsia="仿宋_GB2312"/>
          <w:sz w:val="32"/>
          <w:szCs w:val="32"/>
        </w:rPr>
        <w:t>制定具有吸引力的人才引进政策，吸引外地专业人才。提供优厚的薪酬待遇，如给予高于本地平均水平的工资，并提供完善的福利待遇，包括五险一金、带薪年假、定期体检等。为引进的人才提供住房补贴或人才公寓，解决他们的住房问题。对于具有硕士及以上学历或高级专业技术职称的人才，给予一次性住房补贴，或提供免费的人才公寓居住 。在职业发展方面，为人才提供广阔的晋升空间和培训机会，鼓励他们在养老机构中发挥专业优势，实现个人价值。同时，在户籍政策、子女教育等方面给予政策支持，解除他们的后顾之忧 。</w:t>
      </w:r>
    </w:p>
    <w:p w14:paraId="46DAFAF1">
      <w:pPr>
        <w:spacing w:line="560" w:lineRule="exact"/>
        <w:ind w:left="-283" w:leftChars="-135" w:firstLine="563" w:firstLineChars="176"/>
        <w:rPr>
          <w:rFonts w:ascii="楷体_GB2312" w:hAnsi="楷体" w:eastAsia="楷体_GB2312"/>
          <w:sz w:val="32"/>
          <w:szCs w:val="32"/>
        </w:rPr>
      </w:pPr>
      <w:r>
        <w:rPr>
          <w:rFonts w:hint="eastAsia" w:ascii="楷体_GB2312" w:hAnsi="楷体" w:eastAsia="楷体_GB2312"/>
          <w:sz w:val="32"/>
          <w:szCs w:val="32"/>
        </w:rPr>
        <w:t>（三）服务质量提升措施</w:t>
      </w:r>
    </w:p>
    <w:p w14:paraId="58838BAC">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1、建立服务标准与监管体系</w:t>
      </w:r>
      <w:r>
        <w:rPr>
          <w:rFonts w:hint="eastAsia" w:ascii="仿宋_GB2312" w:eastAsia="仿宋_GB2312"/>
          <w:sz w:val="32"/>
          <w:szCs w:val="32"/>
        </w:rPr>
        <w:t>：</w:t>
      </w:r>
    </w:p>
    <w:p w14:paraId="67027D6D">
      <w:pPr>
        <w:spacing w:line="560" w:lineRule="exact"/>
        <w:ind w:left="-283" w:leftChars="-135" w:firstLine="563" w:firstLineChars="176"/>
        <w:rPr>
          <w:rFonts w:ascii="仿宋_GB2312" w:eastAsia="仿宋_GB2312"/>
          <w:sz w:val="32"/>
          <w:szCs w:val="32"/>
        </w:rPr>
      </w:pPr>
      <w:r>
        <w:rPr>
          <w:rFonts w:ascii="仿宋_GB2312" w:eastAsia="仿宋_GB2312"/>
          <w:sz w:val="32"/>
          <w:szCs w:val="32"/>
        </w:rPr>
        <w:t>制定完善的养老机构服务标准，明确服务内容、服务流程、服务质量要求等。例如，在生活照料服务方面，规定护理人员应按时为老人提供饮食、洗漱、穿衣等服务，每天提供的饮食应营养均衡，种类</w:t>
      </w:r>
      <w:r>
        <w:rPr>
          <w:rFonts w:hint="eastAsia" w:ascii="仿宋_GB2312" w:eastAsia="仿宋_GB2312"/>
          <w:sz w:val="32"/>
          <w:szCs w:val="32"/>
        </w:rPr>
        <w:t>齐全</w:t>
      </w:r>
      <w:r>
        <w:rPr>
          <w:rFonts w:ascii="仿宋_GB2312" w:eastAsia="仿宋_GB2312"/>
          <w:sz w:val="32"/>
          <w:szCs w:val="32"/>
        </w:rPr>
        <w:t xml:space="preserve">；在医疗护理服务方面，要求养老机构配备专业的医护人员，每天至少为老人进行 </w:t>
      </w:r>
      <w:r>
        <w:rPr>
          <w:rFonts w:hint="eastAsia" w:ascii="仿宋_GB2312" w:eastAsia="仿宋_GB2312"/>
          <w:sz w:val="32"/>
          <w:szCs w:val="32"/>
        </w:rPr>
        <w:t>1</w:t>
      </w:r>
      <w:r>
        <w:rPr>
          <w:rFonts w:ascii="仿宋_GB2312" w:eastAsia="仿宋_GB2312"/>
          <w:sz w:val="32"/>
          <w:szCs w:val="32"/>
        </w:rPr>
        <w:t>次健康检查，建立详细的健康档案等。加强对养老机构服务质量的监管，成立专门的监管机构，定期对养老机构进行检查和评估。对不符合服务标准的养老机构，责令限期整改，整改不到位的，依法进行处罚，如降低星级评定、减少运营补贴等，确保养老机构提供高质量的服务 。</w:t>
      </w:r>
    </w:p>
    <w:p w14:paraId="7E2E7AE6">
      <w:pPr>
        <w:spacing w:line="560" w:lineRule="exact"/>
        <w:ind w:left="-283" w:leftChars="-135" w:firstLine="565" w:firstLineChars="176"/>
        <w:rPr>
          <w:rFonts w:ascii="仿宋_GB2312" w:eastAsia="仿宋_GB2312"/>
          <w:sz w:val="32"/>
          <w:szCs w:val="32"/>
        </w:rPr>
      </w:pPr>
      <w:r>
        <w:rPr>
          <w:rFonts w:hint="eastAsia" w:ascii="仿宋_GB2312" w:eastAsia="仿宋_GB2312"/>
          <w:b/>
          <w:bCs/>
          <w:sz w:val="32"/>
          <w:szCs w:val="32"/>
        </w:rPr>
        <w:t>2、定期评估与改进</w:t>
      </w:r>
      <w:r>
        <w:rPr>
          <w:rFonts w:hint="eastAsia" w:ascii="仿宋_GB2312" w:eastAsia="仿宋_GB2312"/>
          <w:sz w:val="32"/>
          <w:szCs w:val="32"/>
        </w:rPr>
        <w:t>：</w:t>
      </w:r>
    </w:p>
    <w:p w14:paraId="0C56E659">
      <w:pPr>
        <w:spacing w:line="560" w:lineRule="exact"/>
        <w:ind w:left="-283" w:leftChars="-135" w:firstLine="563" w:firstLineChars="176"/>
        <w:rPr>
          <w:rFonts w:ascii="仿宋_GB2312" w:eastAsia="仿宋_GB2312"/>
          <w:sz w:val="32"/>
          <w:szCs w:val="32"/>
        </w:rPr>
      </w:pPr>
      <w:r>
        <w:rPr>
          <w:rFonts w:ascii="仿宋_GB2312" w:eastAsia="仿宋_GB2312"/>
          <w:sz w:val="32"/>
          <w:szCs w:val="32"/>
        </w:rPr>
        <w:t>建立定期服务质量评估机制，邀请第三方评估机构或组织专家、老人代表等对养老机构的服务质量进行评估。评估内容包括服务设施、服务态度、服务效果等方面，通过问卷调查、实地考察、访谈等方式收集评估数据。根据评估结果，及时发现问题并制定改进措施。养老机构应针对评估中发现的问题，制定详细的整改计划，明确整改目标、整改措施、整改责任人及整改时间节点。例如，针对评估中发现的文化娱乐活动形式单一的问题，养老机构可以增加活动种类，如举办手工制作、舞蹈比赛等活动，并安排专人负责组织和策划，确保整改措施落到实处，不断提升服务质量</w:t>
      </w:r>
      <w:r>
        <w:rPr>
          <w:rFonts w:hint="eastAsia" w:ascii="仿宋_GB2312" w:eastAsia="仿宋_GB2312"/>
          <w:sz w:val="32"/>
          <w:szCs w:val="32"/>
        </w:rPr>
        <w:t>。</w:t>
      </w:r>
    </w:p>
    <w:p w14:paraId="02DBC9B5">
      <w:pPr>
        <w:rPr>
          <w:rFonts w:ascii="楷体_GB2312" w:hAnsi="楷体_GB2312" w:eastAsia="楷体_GB2312" w:cs="楷体_GB2312"/>
          <w:sz w:val="32"/>
          <w:szCs w:val="32"/>
        </w:rPr>
      </w:pPr>
    </w:p>
    <w:p w14:paraId="04F662A6">
      <w:pPr>
        <w:rPr>
          <w:rFonts w:ascii="楷体_GB2312" w:hAnsi="楷体_GB2312" w:eastAsia="楷体_GB2312" w:cs="楷体_GB2312"/>
          <w:sz w:val="32"/>
          <w:szCs w:val="32"/>
        </w:rPr>
      </w:pPr>
    </w:p>
    <w:p w14:paraId="7491102D">
      <w:pPr>
        <w:rPr>
          <w:rFonts w:ascii="楷体_GB2312" w:hAnsi="楷体_GB2312" w:eastAsia="楷体_GB2312" w:cs="楷体_GB2312"/>
          <w:sz w:val="32"/>
          <w:szCs w:val="32"/>
        </w:rPr>
      </w:pPr>
    </w:p>
    <w:p w14:paraId="3CE3B666">
      <w:pPr>
        <w:rPr>
          <w:rFonts w:ascii="楷体_GB2312" w:hAnsi="楷体_GB2312" w:eastAsia="楷体_GB2312" w:cs="楷体_GB2312"/>
          <w:sz w:val="32"/>
          <w:szCs w:val="32"/>
        </w:rPr>
      </w:pPr>
    </w:p>
    <w:p w14:paraId="333F637F">
      <w:pPr>
        <w:rPr>
          <w:rFonts w:ascii="楷体_GB2312" w:hAnsi="楷体_GB2312" w:eastAsia="楷体_GB2312" w:cs="楷体_GB2312"/>
          <w:sz w:val="32"/>
          <w:szCs w:val="32"/>
        </w:rPr>
      </w:pPr>
    </w:p>
    <w:p w14:paraId="69145FC9">
      <w:pPr>
        <w:rPr>
          <w:rFonts w:ascii="楷体_GB2312" w:hAnsi="楷体_GB2312" w:eastAsia="楷体_GB2312" w:cs="楷体_GB2312"/>
          <w:sz w:val="32"/>
          <w:szCs w:val="32"/>
        </w:rPr>
      </w:pPr>
    </w:p>
    <w:p w14:paraId="6D826771">
      <w:pPr>
        <w:rPr>
          <w:rFonts w:ascii="楷体_GB2312" w:hAnsi="楷体_GB2312" w:eastAsia="楷体_GB2312" w:cs="楷体_GB2312"/>
          <w:sz w:val="32"/>
          <w:szCs w:val="32"/>
        </w:rPr>
      </w:pPr>
    </w:p>
    <w:p w14:paraId="2B1AEC97">
      <w:pPr>
        <w:rPr>
          <w:rFonts w:ascii="楷体_GB2312" w:hAnsi="楷体_GB2312" w:eastAsia="楷体_GB2312" w:cs="楷体_GB2312"/>
          <w:sz w:val="32"/>
          <w:szCs w:val="32"/>
        </w:rPr>
      </w:pPr>
    </w:p>
    <w:p w14:paraId="0378CE8C">
      <w:pPr>
        <w:rPr>
          <w:rFonts w:ascii="楷体_GB2312" w:hAnsi="楷体_GB2312" w:eastAsia="楷体_GB2312" w:cs="楷体_GB2312"/>
          <w:sz w:val="32"/>
          <w:szCs w:val="32"/>
        </w:rPr>
      </w:pPr>
    </w:p>
    <w:p w14:paraId="790CC916">
      <w:pPr>
        <w:rPr>
          <w:rFonts w:ascii="楷体_GB2312" w:hAnsi="楷体_GB2312" w:eastAsia="楷体_GB2312" w:cs="楷体_GB2312"/>
          <w:sz w:val="32"/>
          <w:szCs w:val="32"/>
        </w:rPr>
      </w:pPr>
    </w:p>
    <w:p w14:paraId="33B7B4EB">
      <w:pPr>
        <w:rPr>
          <w:rFonts w:ascii="楷体_GB2312" w:hAnsi="楷体_GB2312" w:eastAsia="楷体_GB2312" w:cs="楷体_GB2312"/>
          <w:sz w:val="32"/>
          <w:szCs w:val="32"/>
        </w:rPr>
      </w:pPr>
    </w:p>
    <w:p w14:paraId="404AB95F">
      <w:pPr>
        <w:rPr>
          <w:rFonts w:ascii="楷体_GB2312" w:hAnsi="楷体_GB2312" w:eastAsia="楷体_GB2312" w:cs="楷体_GB2312"/>
          <w:sz w:val="32"/>
          <w:szCs w:val="32"/>
        </w:rPr>
      </w:pPr>
    </w:p>
    <w:p w14:paraId="30656DE8">
      <w:pPr>
        <w:rPr>
          <w:rFonts w:ascii="楷体_GB2312" w:hAnsi="楷体_GB2312" w:eastAsia="楷体_GB2312" w:cs="楷体_GB2312"/>
          <w:sz w:val="32"/>
          <w:szCs w:val="32"/>
        </w:rPr>
      </w:pPr>
    </w:p>
    <w:p w14:paraId="1205DE16">
      <w:pPr>
        <w:rPr>
          <w:rFonts w:ascii="楷体_GB2312" w:hAnsi="楷体_GB2312" w:eastAsia="楷体_GB2312" w:cs="楷体_GB2312"/>
          <w:sz w:val="32"/>
          <w:szCs w:val="32"/>
        </w:rPr>
      </w:pPr>
    </w:p>
    <w:p w14:paraId="2A21314B">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提案编号:052</w:t>
      </w:r>
    </w:p>
    <w:p w14:paraId="370319BB">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提案名称:</w:t>
      </w:r>
      <w:r>
        <w:rPr>
          <w:rFonts w:ascii="Times New Roman" w:hAnsi="Times New Roman" w:eastAsia="楷体_GB2312" w:cs="Times New Roman"/>
          <w:bCs/>
          <w:spacing w:val="-17"/>
          <w:sz w:val="32"/>
          <w:szCs w:val="32"/>
        </w:rPr>
        <w:t>关于</w:t>
      </w:r>
      <w:r>
        <w:rPr>
          <w:rFonts w:hint="eastAsia" w:ascii="Times New Roman" w:hAnsi="Times New Roman" w:eastAsia="楷体_GB2312" w:cs="Times New Roman"/>
          <w:bCs/>
          <w:spacing w:val="-17"/>
          <w:sz w:val="32"/>
          <w:szCs w:val="32"/>
        </w:rPr>
        <w:t>开放使用政务服务中心附近停车位</w:t>
      </w:r>
      <w:r>
        <w:rPr>
          <w:rFonts w:ascii="Times New Roman" w:hAnsi="Times New Roman" w:eastAsia="楷体_GB2312" w:cs="Times New Roman"/>
          <w:bCs/>
          <w:spacing w:val="-17"/>
          <w:sz w:val="32"/>
          <w:szCs w:val="32"/>
        </w:rPr>
        <w:t>的提案</w:t>
      </w:r>
    </w:p>
    <w:p w14:paraId="46146206">
      <w:pPr>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人:郝子迪</w:t>
      </w:r>
    </w:p>
    <w:p w14:paraId="2A3A4DA3">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联系方式：13088427821</w:t>
      </w:r>
    </w:p>
    <w:p w14:paraId="51C66104">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别:医药卫生</w:t>
      </w:r>
    </w:p>
    <w:p w14:paraId="4A762B4E">
      <w:pPr>
        <w:spacing w:line="560" w:lineRule="exact"/>
        <w:ind w:firstLine="272" w:firstLineChars="62"/>
        <w:jc w:val="center"/>
        <w:rPr>
          <w:rFonts w:ascii="方正小标宋_GBK" w:hAnsi="方正小标宋_GBK" w:eastAsia="方正小标宋_GBK" w:cs="方正小标宋_GBK"/>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开放使用政务服务中心附近停车位</w:t>
      </w:r>
      <w:r>
        <w:rPr>
          <w:rFonts w:ascii="Times New Roman" w:hAnsi="Times New Roman" w:eastAsia="方正小标宋简体" w:cs="Times New Roman"/>
          <w:sz w:val="44"/>
          <w:szCs w:val="44"/>
        </w:rPr>
        <w:t>的提案</w:t>
      </w:r>
    </w:p>
    <w:p w14:paraId="1418ADCE">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14:paraId="03953CB4">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随着城镇化的不断推进，城市空间有限，机动车数量不断增长，不少车主不约而同地发出了感慨：停车，怎么就这么难？“停车难”在去政务服务中心办事的群众身上更是体现的淋漓尽致，我旗政务服务中心承载着全旗大部分的政务审批事项，是服务企业、群众的“城市之窗”，每天到访人次约1000人，到访车辆约400辆。</w:t>
      </w:r>
    </w:p>
    <w:p w14:paraId="39C5698C">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二、存在问题</w:t>
      </w:r>
    </w:p>
    <w:p w14:paraId="13119F77">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rPr>
        <w:t>政务服务中心附近的机关单位较多，工作人员停车已经是很困难了，所以导致到中心来办事的群众很多车辆没有地方停放，路边暂停可能会收到罚单，许多人只能开到很远的地方停放车辆。许多附近单位门前都设置了门禁，原设计规划停车位少，导致办事群众出现“停车难”问题。“办事一刻钟，停车半小时”，成为方便群众办事、优化服务体验的堵点和痛点。</w:t>
      </w:r>
    </w:p>
    <w:p w14:paraId="74CD8D91">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三、建议</w:t>
      </w:r>
    </w:p>
    <w:p w14:paraId="3CB340E1">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rPr>
        <w:t>号召职工绿色出行，开放单位门前停车位，周末政务服务中心提供延时服务时可以由相关部门协调建筑中学开放使用操场。</w:t>
      </w:r>
    </w:p>
    <w:p w14:paraId="6EBA61F7">
      <w:pPr>
        <w:rPr>
          <w:rFonts w:ascii="楷体_GB2312" w:hAnsi="楷体" w:eastAsia="楷体_GB2312" w:cs="仿宋_GB2312"/>
          <w:bCs/>
          <w:spacing w:val="-17"/>
          <w:sz w:val="32"/>
          <w:szCs w:val="32"/>
        </w:rPr>
      </w:pPr>
    </w:p>
    <w:p w14:paraId="088B9000">
      <w:pPr>
        <w:rPr>
          <w:rFonts w:ascii="楷体_GB2312" w:hAnsi="楷体" w:eastAsia="楷体_GB2312" w:cs="仿宋_GB2312"/>
          <w:bCs/>
          <w:spacing w:val="-17"/>
          <w:sz w:val="32"/>
          <w:szCs w:val="32"/>
        </w:rPr>
      </w:pPr>
    </w:p>
    <w:p w14:paraId="7BFBE42C">
      <w:pPr>
        <w:rPr>
          <w:rFonts w:ascii="楷体_GB2312" w:hAnsi="楷体" w:eastAsia="楷体_GB2312" w:cs="仿宋_GB2312"/>
          <w:bCs/>
          <w:spacing w:val="-17"/>
          <w:sz w:val="32"/>
          <w:szCs w:val="32"/>
        </w:rPr>
      </w:pPr>
    </w:p>
    <w:p w14:paraId="464CED54">
      <w:pPr>
        <w:rPr>
          <w:rFonts w:ascii="楷体_GB2312" w:hAnsi="楷体" w:eastAsia="楷体_GB2312" w:cs="仿宋_GB2312"/>
          <w:bCs/>
          <w:spacing w:val="-17"/>
          <w:sz w:val="32"/>
          <w:szCs w:val="32"/>
        </w:rPr>
      </w:pPr>
    </w:p>
    <w:p w14:paraId="22920A04">
      <w:pPr>
        <w:rPr>
          <w:rFonts w:ascii="楷体_GB2312" w:hAnsi="楷体" w:eastAsia="楷体_GB2312" w:cs="仿宋_GB2312"/>
          <w:bCs/>
          <w:spacing w:val="-17"/>
          <w:sz w:val="32"/>
          <w:szCs w:val="32"/>
        </w:rPr>
      </w:pPr>
    </w:p>
    <w:p w14:paraId="7DCCF365">
      <w:pPr>
        <w:rPr>
          <w:rFonts w:ascii="楷体_GB2312" w:hAnsi="楷体" w:eastAsia="楷体_GB2312" w:cs="仿宋_GB2312"/>
          <w:bCs/>
          <w:spacing w:val="-17"/>
          <w:sz w:val="32"/>
          <w:szCs w:val="32"/>
        </w:rPr>
      </w:pPr>
    </w:p>
    <w:p w14:paraId="79FFFBE3">
      <w:pPr>
        <w:rPr>
          <w:rFonts w:ascii="楷体_GB2312" w:hAnsi="楷体" w:eastAsia="楷体_GB2312" w:cs="仿宋_GB2312"/>
          <w:bCs/>
          <w:spacing w:val="-17"/>
          <w:sz w:val="32"/>
          <w:szCs w:val="32"/>
        </w:rPr>
      </w:pPr>
    </w:p>
    <w:p w14:paraId="33EC0130">
      <w:pPr>
        <w:rPr>
          <w:rFonts w:ascii="楷体_GB2312" w:hAnsi="楷体" w:eastAsia="楷体_GB2312" w:cs="仿宋_GB2312"/>
          <w:bCs/>
          <w:spacing w:val="-17"/>
          <w:sz w:val="32"/>
          <w:szCs w:val="32"/>
        </w:rPr>
      </w:pPr>
    </w:p>
    <w:p w14:paraId="3251486D">
      <w:pPr>
        <w:rPr>
          <w:rFonts w:ascii="楷体_GB2312" w:hAnsi="楷体" w:eastAsia="楷体_GB2312" w:cs="仿宋_GB2312"/>
          <w:bCs/>
          <w:spacing w:val="-17"/>
          <w:sz w:val="32"/>
          <w:szCs w:val="32"/>
        </w:rPr>
      </w:pPr>
    </w:p>
    <w:p w14:paraId="7ECC39B5">
      <w:pPr>
        <w:rPr>
          <w:rFonts w:ascii="楷体_GB2312" w:hAnsi="楷体" w:eastAsia="楷体_GB2312" w:cs="仿宋_GB2312"/>
          <w:bCs/>
          <w:spacing w:val="-17"/>
          <w:sz w:val="32"/>
          <w:szCs w:val="32"/>
        </w:rPr>
      </w:pPr>
    </w:p>
    <w:p w14:paraId="117D38E7">
      <w:pPr>
        <w:rPr>
          <w:rFonts w:ascii="楷体_GB2312" w:hAnsi="楷体" w:eastAsia="楷体_GB2312" w:cs="仿宋_GB2312"/>
          <w:bCs/>
          <w:spacing w:val="-17"/>
          <w:sz w:val="32"/>
          <w:szCs w:val="32"/>
        </w:rPr>
      </w:pPr>
    </w:p>
    <w:p w14:paraId="7F67371A">
      <w:pPr>
        <w:rPr>
          <w:rFonts w:ascii="楷体_GB2312" w:hAnsi="楷体" w:eastAsia="楷体_GB2312" w:cs="仿宋_GB2312"/>
          <w:bCs/>
          <w:spacing w:val="-17"/>
          <w:sz w:val="32"/>
          <w:szCs w:val="32"/>
        </w:rPr>
      </w:pPr>
    </w:p>
    <w:p w14:paraId="279C46AC">
      <w:pPr>
        <w:rPr>
          <w:rFonts w:ascii="楷体_GB2312" w:hAnsi="楷体" w:eastAsia="楷体_GB2312" w:cs="仿宋_GB2312"/>
          <w:bCs/>
          <w:spacing w:val="-17"/>
          <w:sz w:val="32"/>
          <w:szCs w:val="32"/>
        </w:rPr>
      </w:pPr>
    </w:p>
    <w:p w14:paraId="3460BD2D">
      <w:pPr>
        <w:rPr>
          <w:rFonts w:ascii="楷体_GB2312" w:hAnsi="楷体" w:eastAsia="楷体_GB2312" w:cs="仿宋_GB2312"/>
          <w:bCs/>
          <w:spacing w:val="-17"/>
          <w:sz w:val="32"/>
          <w:szCs w:val="32"/>
        </w:rPr>
      </w:pPr>
    </w:p>
    <w:p w14:paraId="38FB892D">
      <w:pPr>
        <w:rPr>
          <w:rFonts w:ascii="楷体_GB2312" w:hAnsi="楷体" w:eastAsia="楷体_GB2312" w:cs="仿宋_GB2312"/>
          <w:bCs/>
          <w:spacing w:val="-17"/>
          <w:sz w:val="32"/>
          <w:szCs w:val="32"/>
        </w:rPr>
      </w:pPr>
    </w:p>
    <w:p w14:paraId="76BB53AF">
      <w:pPr>
        <w:rPr>
          <w:rFonts w:ascii="楷体_GB2312" w:hAnsi="楷体" w:eastAsia="楷体_GB2312" w:cs="仿宋_GB2312"/>
          <w:bCs/>
          <w:spacing w:val="-17"/>
          <w:sz w:val="32"/>
          <w:szCs w:val="32"/>
        </w:rPr>
      </w:pPr>
    </w:p>
    <w:p w14:paraId="690AAECD">
      <w:pPr>
        <w:rPr>
          <w:rFonts w:ascii="楷体_GB2312" w:hAnsi="楷体" w:eastAsia="楷体_GB2312" w:cs="仿宋_GB2312"/>
          <w:bCs/>
          <w:spacing w:val="-17"/>
          <w:sz w:val="32"/>
          <w:szCs w:val="32"/>
        </w:rPr>
      </w:pPr>
    </w:p>
    <w:p w14:paraId="28E6F0E6">
      <w:pPr>
        <w:rPr>
          <w:rFonts w:ascii="楷体_GB2312" w:hAnsi="楷体" w:eastAsia="楷体_GB2312" w:cs="仿宋_GB2312"/>
          <w:bCs/>
          <w:spacing w:val="-17"/>
          <w:sz w:val="32"/>
          <w:szCs w:val="32"/>
        </w:rPr>
      </w:pPr>
    </w:p>
    <w:p w14:paraId="512787E5">
      <w:pPr>
        <w:rPr>
          <w:rFonts w:ascii="楷体_GB2312" w:hAnsi="楷体" w:eastAsia="楷体_GB2312" w:cs="仿宋_GB2312"/>
          <w:bCs/>
          <w:spacing w:val="-17"/>
          <w:sz w:val="32"/>
          <w:szCs w:val="32"/>
        </w:rPr>
      </w:pPr>
    </w:p>
    <w:p w14:paraId="0B65E9B4">
      <w:pPr>
        <w:rPr>
          <w:rFonts w:ascii="楷体_GB2312" w:hAnsi="楷体" w:eastAsia="楷体_GB2312" w:cs="仿宋_GB2312"/>
          <w:bCs/>
          <w:spacing w:val="-17"/>
          <w:sz w:val="32"/>
          <w:szCs w:val="32"/>
        </w:rPr>
      </w:pPr>
    </w:p>
    <w:p w14:paraId="785EB5C5">
      <w:pPr>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提案编号：053</w:t>
      </w:r>
    </w:p>
    <w:p w14:paraId="2C376284">
      <w:pPr>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提案名称：关于马鞍山沿线增加公交线路的提案</w:t>
      </w:r>
    </w:p>
    <w:p w14:paraId="70884554">
      <w:pPr>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 案 人</w:t>
      </w:r>
      <w:r>
        <w:rPr>
          <w:rFonts w:hint="eastAsia" w:ascii="楷体_GB2312" w:hAnsi="楷体_GB2312" w:eastAsia="楷体_GB2312" w:cs="楷体_GB2312"/>
          <w:bCs/>
          <w:sz w:val="32"/>
          <w:szCs w:val="32"/>
        </w:rPr>
        <w:t>：张丽杰</w:t>
      </w:r>
    </w:p>
    <w:p w14:paraId="4266904D">
      <w:pPr>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联系方式：13674801327</w:t>
      </w:r>
    </w:p>
    <w:p w14:paraId="4021EBED">
      <w:pPr>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界    别：中国共产党</w:t>
      </w:r>
    </w:p>
    <w:p w14:paraId="7D23B5A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关于马鞍山沿线增加公交线路的提案</w:t>
      </w:r>
    </w:p>
    <w:p w14:paraId="0CC0D759">
      <w:pPr>
        <w:ind w:firstLine="420" w:firstLineChars="200"/>
      </w:pPr>
    </w:p>
    <w:p w14:paraId="5A1D0998">
      <w:pPr>
        <w:ind w:firstLine="640" w:firstLineChars="200"/>
        <w:rPr>
          <w:rFonts w:ascii="仿宋_GB2312" w:eastAsia="仿宋_GB2312"/>
          <w:sz w:val="32"/>
          <w:szCs w:val="32"/>
        </w:rPr>
      </w:pPr>
      <w:r>
        <w:rPr>
          <w:rFonts w:hint="eastAsia" w:ascii="仿宋_GB2312" w:eastAsia="仿宋_GB2312"/>
          <w:sz w:val="32"/>
          <w:szCs w:val="32"/>
        </w:rPr>
        <w:t>近年来，我旗旅游产业蓬勃发展，马鞍山景区作为全旗重要文旅品牌，景区设施日益完善，知名度持续提升，吸引了大量游客。但因为交通条件有限，对于近郊居民及外来游客而言，只能乘坐出租车或私家车前往，出行不便的同时增加了交通成本。增设公交线路，不仅能让外地游客和本地居民得到真正的实惠，更可以进一步提升喀喇沁的旅游服务质量，吸引更多的游客来我旗观光游玩。</w:t>
      </w:r>
    </w:p>
    <w:p w14:paraId="52531B02">
      <w:pPr>
        <w:ind w:firstLine="640" w:firstLineChars="200"/>
        <w:rPr>
          <w:rFonts w:ascii="黑体" w:hAnsi="黑体" w:eastAsia="黑体" w:cs="黑体"/>
          <w:sz w:val="32"/>
          <w:szCs w:val="32"/>
        </w:rPr>
      </w:pPr>
      <w:r>
        <w:rPr>
          <w:rFonts w:hint="eastAsia" w:ascii="黑体" w:hAnsi="黑体" w:eastAsia="黑体" w:cs="黑体"/>
          <w:sz w:val="32"/>
          <w:szCs w:val="32"/>
        </w:rPr>
        <w:t>一、建议</w:t>
      </w:r>
    </w:p>
    <w:p w14:paraId="4B0C5F40">
      <w:pPr>
        <w:ind w:firstLine="640" w:firstLineChars="200"/>
        <w:rPr>
          <w:rFonts w:ascii="仿宋_GB2312" w:eastAsia="仿宋_GB2312"/>
          <w:sz w:val="32"/>
          <w:szCs w:val="32"/>
        </w:rPr>
      </w:pPr>
      <w:r>
        <w:rPr>
          <w:rFonts w:hint="eastAsia" w:ascii="楷体_GB2312" w:hAnsi="楷体_GB2312" w:eastAsia="楷体_GB2312" w:cs="楷体_GB2312"/>
          <w:sz w:val="32"/>
          <w:szCs w:val="32"/>
        </w:rPr>
        <w:t>（一）开设直达公交线路。</w:t>
      </w:r>
      <w:r>
        <w:rPr>
          <w:rFonts w:hint="eastAsia" w:ascii="仿宋_GB2312" w:eastAsia="仿宋_GB2312"/>
          <w:sz w:val="32"/>
          <w:szCs w:val="32"/>
        </w:rPr>
        <w:t>建议开设一条从锦山中心城区或周边主要交通枢纽直达马鞍山景区的公交线路，方便镇区居民及外地游客前往马鞍山景区、红色教育研学基地、彩缇森林酒店进行参观、考察、学习及游玩。</w:t>
      </w:r>
    </w:p>
    <w:p w14:paraId="27262672">
      <w:pPr>
        <w:ind w:firstLine="640" w:firstLineChars="200"/>
        <w:rPr>
          <w:rFonts w:ascii="仿宋_GB2312" w:eastAsia="仿宋_GB2312"/>
          <w:sz w:val="32"/>
          <w:szCs w:val="32"/>
        </w:rPr>
      </w:pPr>
      <w:r>
        <w:rPr>
          <w:rFonts w:hint="eastAsia" w:ascii="楷体_GB2312" w:hAnsi="楷体_GB2312" w:eastAsia="楷体_GB2312" w:cs="楷体_GB2312"/>
          <w:sz w:val="32"/>
          <w:szCs w:val="32"/>
        </w:rPr>
        <w:t>（二）优化班次和停靠站点。</w:t>
      </w:r>
      <w:r>
        <w:rPr>
          <w:rFonts w:hint="eastAsia" w:ascii="仿宋_GB2312" w:eastAsia="仿宋_GB2312"/>
          <w:sz w:val="32"/>
          <w:szCs w:val="32"/>
        </w:rPr>
        <w:t>考虑到游客的不同需求，设置不同的班次和马鞍山迎宾花海、采缇湖、汽车营地、马鞍山国家森林公园、马鞍山林场小路等停靠站点。可以根据旅游淡旺季、工作日和周末等情况灵活调整班次密度，确保游客能够根据自己的行程安排选择合适的公交线路。</w:t>
      </w:r>
    </w:p>
    <w:p w14:paraId="78EE73FB">
      <w:pPr>
        <w:ind w:firstLine="640" w:firstLineChars="200"/>
        <w:rPr>
          <w:rFonts w:ascii="仿宋_GB2312" w:eastAsia="仿宋_GB2312"/>
          <w:sz w:val="32"/>
          <w:szCs w:val="32"/>
        </w:rPr>
      </w:pPr>
      <w:r>
        <w:rPr>
          <w:rFonts w:hint="eastAsia" w:ascii="楷体_GB2312" w:hAnsi="楷体_GB2312" w:eastAsia="楷体_GB2312" w:cs="楷体_GB2312"/>
          <w:sz w:val="32"/>
          <w:szCs w:val="32"/>
        </w:rPr>
        <w:t>（三）提升公交服务质量。</w:t>
      </w:r>
      <w:r>
        <w:rPr>
          <w:rFonts w:hint="eastAsia" w:ascii="仿宋_GB2312" w:eastAsia="仿宋_GB2312"/>
          <w:sz w:val="32"/>
          <w:szCs w:val="32"/>
        </w:rPr>
        <w:t>为了提升游客的出行体验，在公交车上配备导游解说服务，提供相关的旅游信息、宣传资料。通过导游解说，让游客在旅途中更好地了解马鞍山的历史文化和自然风光，增加旅游的趣味性和知识性。</w:t>
      </w:r>
    </w:p>
    <w:p w14:paraId="79D12948">
      <w:pPr>
        <w:spacing w:line="560" w:lineRule="exact"/>
        <w:rPr>
          <w:rFonts w:ascii="楷体_GB2312" w:hAnsi="楷体" w:eastAsia="楷体_GB2312" w:cs="楷体"/>
          <w:kern w:val="0"/>
          <w:sz w:val="32"/>
          <w:szCs w:val="32"/>
        </w:rPr>
      </w:pPr>
    </w:p>
    <w:p w14:paraId="0143E62F">
      <w:pPr>
        <w:spacing w:line="560" w:lineRule="exact"/>
        <w:rPr>
          <w:rFonts w:ascii="楷体_GB2312" w:hAnsi="楷体" w:eastAsia="楷体_GB2312" w:cs="楷体"/>
          <w:kern w:val="0"/>
          <w:sz w:val="32"/>
          <w:szCs w:val="32"/>
        </w:rPr>
      </w:pPr>
    </w:p>
    <w:p w14:paraId="5256C7BC">
      <w:pPr>
        <w:spacing w:line="560" w:lineRule="exact"/>
        <w:rPr>
          <w:rFonts w:ascii="楷体_GB2312" w:hAnsi="楷体" w:eastAsia="楷体_GB2312" w:cs="楷体"/>
          <w:kern w:val="0"/>
          <w:sz w:val="32"/>
          <w:szCs w:val="32"/>
        </w:rPr>
      </w:pPr>
    </w:p>
    <w:p w14:paraId="75A27B6A">
      <w:pPr>
        <w:spacing w:line="560" w:lineRule="exact"/>
        <w:rPr>
          <w:rFonts w:ascii="楷体_GB2312" w:hAnsi="楷体" w:eastAsia="楷体_GB2312" w:cs="楷体"/>
          <w:kern w:val="0"/>
          <w:sz w:val="32"/>
          <w:szCs w:val="32"/>
        </w:rPr>
      </w:pPr>
    </w:p>
    <w:p w14:paraId="7E613059">
      <w:pPr>
        <w:spacing w:line="560" w:lineRule="exact"/>
        <w:rPr>
          <w:rFonts w:ascii="楷体_GB2312" w:hAnsi="楷体" w:eastAsia="楷体_GB2312" w:cs="楷体"/>
          <w:kern w:val="0"/>
          <w:sz w:val="32"/>
          <w:szCs w:val="32"/>
        </w:rPr>
      </w:pPr>
    </w:p>
    <w:p w14:paraId="685EC209">
      <w:pPr>
        <w:spacing w:line="560" w:lineRule="exact"/>
        <w:rPr>
          <w:rFonts w:ascii="楷体_GB2312" w:hAnsi="楷体" w:eastAsia="楷体_GB2312" w:cs="楷体"/>
          <w:kern w:val="0"/>
          <w:sz w:val="32"/>
          <w:szCs w:val="32"/>
        </w:rPr>
      </w:pPr>
    </w:p>
    <w:p w14:paraId="58C82D99">
      <w:pPr>
        <w:spacing w:line="560" w:lineRule="exact"/>
        <w:rPr>
          <w:rFonts w:ascii="楷体_GB2312" w:hAnsi="楷体" w:eastAsia="楷体_GB2312" w:cs="楷体"/>
          <w:kern w:val="0"/>
          <w:sz w:val="32"/>
          <w:szCs w:val="32"/>
        </w:rPr>
      </w:pPr>
    </w:p>
    <w:p w14:paraId="1A874FF9">
      <w:pPr>
        <w:spacing w:line="560" w:lineRule="exact"/>
        <w:rPr>
          <w:rFonts w:ascii="楷体_GB2312" w:hAnsi="楷体" w:eastAsia="楷体_GB2312" w:cs="楷体"/>
          <w:kern w:val="0"/>
          <w:sz w:val="32"/>
          <w:szCs w:val="32"/>
        </w:rPr>
      </w:pPr>
    </w:p>
    <w:p w14:paraId="569A24FD">
      <w:pPr>
        <w:spacing w:line="560" w:lineRule="exact"/>
        <w:rPr>
          <w:rFonts w:ascii="楷体_GB2312" w:hAnsi="楷体" w:eastAsia="楷体_GB2312" w:cs="楷体"/>
          <w:kern w:val="0"/>
          <w:sz w:val="32"/>
          <w:szCs w:val="32"/>
        </w:rPr>
      </w:pPr>
    </w:p>
    <w:p w14:paraId="75AEE0D1">
      <w:pPr>
        <w:spacing w:line="560" w:lineRule="exact"/>
        <w:rPr>
          <w:rFonts w:ascii="楷体_GB2312" w:hAnsi="楷体" w:eastAsia="楷体_GB2312" w:cs="楷体"/>
          <w:kern w:val="0"/>
          <w:sz w:val="32"/>
          <w:szCs w:val="32"/>
        </w:rPr>
      </w:pPr>
    </w:p>
    <w:p w14:paraId="375C3C23">
      <w:pPr>
        <w:spacing w:line="560" w:lineRule="exact"/>
        <w:rPr>
          <w:rFonts w:ascii="楷体_GB2312" w:hAnsi="楷体" w:eastAsia="楷体_GB2312" w:cs="楷体"/>
          <w:kern w:val="0"/>
          <w:sz w:val="32"/>
          <w:szCs w:val="32"/>
        </w:rPr>
      </w:pPr>
    </w:p>
    <w:p w14:paraId="50AC3E77">
      <w:pPr>
        <w:spacing w:line="560" w:lineRule="exact"/>
        <w:rPr>
          <w:rFonts w:ascii="楷体_GB2312" w:hAnsi="楷体" w:eastAsia="楷体_GB2312" w:cs="楷体"/>
          <w:kern w:val="0"/>
          <w:sz w:val="32"/>
          <w:szCs w:val="32"/>
        </w:rPr>
      </w:pPr>
    </w:p>
    <w:p w14:paraId="705A95B1">
      <w:pPr>
        <w:spacing w:line="560" w:lineRule="exact"/>
        <w:rPr>
          <w:rFonts w:ascii="楷体_GB2312" w:hAnsi="楷体" w:eastAsia="楷体_GB2312" w:cs="楷体"/>
          <w:kern w:val="0"/>
          <w:sz w:val="32"/>
          <w:szCs w:val="32"/>
        </w:rPr>
      </w:pPr>
    </w:p>
    <w:p w14:paraId="46B4A9B0">
      <w:pPr>
        <w:spacing w:line="560" w:lineRule="exact"/>
        <w:rPr>
          <w:rFonts w:ascii="楷体_GB2312" w:hAnsi="楷体" w:eastAsia="楷体_GB2312" w:cs="楷体"/>
          <w:kern w:val="0"/>
          <w:sz w:val="32"/>
          <w:szCs w:val="32"/>
        </w:rPr>
      </w:pPr>
    </w:p>
    <w:p w14:paraId="176EC413">
      <w:pPr>
        <w:spacing w:line="560" w:lineRule="exact"/>
        <w:rPr>
          <w:rFonts w:ascii="楷体_GB2312" w:hAnsi="楷体" w:eastAsia="楷体_GB2312" w:cs="楷体"/>
          <w:kern w:val="0"/>
          <w:sz w:val="32"/>
          <w:szCs w:val="32"/>
        </w:rPr>
      </w:pPr>
    </w:p>
    <w:p w14:paraId="1F989966">
      <w:pPr>
        <w:spacing w:line="560" w:lineRule="exact"/>
        <w:rPr>
          <w:rFonts w:ascii="楷体_GB2312" w:hAnsi="楷体" w:eastAsia="楷体_GB2312" w:cs="楷体"/>
          <w:kern w:val="0"/>
          <w:sz w:val="32"/>
          <w:szCs w:val="32"/>
        </w:rPr>
      </w:pPr>
    </w:p>
    <w:p w14:paraId="0C3E1423">
      <w:pPr>
        <w:spacing w:line="560" w:lineRule="exact"/>
        <w:rPr>
          <w:rFonts w:ascii="楷体_GB2312" w:hAnsi="楷体" w:eastAsia="楷体_GB2312" w:cs="楷体"/>
          <w:kern w:val="0"/>
          <w:sz w:val="32"/>
          <w:szCs w:val="32"/>
        </w:rPr>
      </w:pPr>
    </w:p>
    <w:p w14:paraId="49A70C4A">
      <w:pPr>
        <w:spacing w:line="560" w:lineRule="exact"/>
        <w:rPr>
          <w:rFonts w:ascii="楷体_GB2312" w:hAnsi="楷体" w:eastAsia="楷体_GB2312" w:cs="楷体"/>
          <w:kern w:val="0"/>
          <w:sz w:val="32"/>
          <w:szCs w:val="32"/>
        </w:rPr>
      </w:pPr>
    </w:p>
    <w:p w14:paraId="5C7533A6">
      <w:pPr>
        <w:spacing w:line="560" w:lineRule="exact"/>
        <w:rPr>
          <w:rFonts w:ascii="楷体_GB2312" w:hAnsi="楷体" w:eastAsia="楷体_GB2312" w:cs="楷体"/>
          <w:sz w:val="32"/>
          <w:szCs w:val="32"/>
        </w:rPr>
      </w:pPr>
      <w:r>
        <w:rPr>
          <w:rFonts w:hint="eastAsia" w:ascii="楷体_GB2312" w:hAnsi="楷体" w:eastAsia="楷体_GB2312" w:cs="楷体"/>
          <w:spacing w:val="0"/>
          <w:kern w:val="0"/>
          <w:sz w:val="32"/>
          <w:szCs w:val="32"/>
          <w:fitText w:val="1280" w:id="-781549308"/>
        </w:rPr>
        <w:t>提案编号</w:t>
      </w:r>
      <w:r>
        <w:rPr>
          <w:rFonts w:hint="eastAsia" w:ascii="楷体_GB2312" w:hAnsi="楷体" w:eastAsia="楷体_GB2312" w:cs="楷体"/>
          <w:sz w:val="32"/>
          <w:szCs w:val="32"/>
        </w:rPr>
        <w:t>：054</w:t>
      </w:r>
    </w:p>
    <w:p w14:paraId="28D236A4">
      <w:pPr>
        <w:spacing w:line="560" w:lineRule="exact"/>
        <w:rPr>
          <w:rFonts w:ascii="楷体_GB2312" w:hAnsi="楷体" w:eastAsia="楷体_GB2312" w:cs="楷体"/>
          <w:sz w:val="32"/>
          <w:szCs w:val="32"/>
        </w:rPr>
      </w:pPr>
      <w:r>
        <w:rPr>
          <w:rFonts w:hint="eastAsia" w:ascii="楷体_GB2312" w:hAnsi="楷体" w:eastAsia="楷体_GB2312" w:cs="楷体"/>
          <w:spacing w:val="0"/>
          <w:kern w:val="0"/>
          <w:sz w:val="32"/>
          <w:szCs w:val="32"/>
          <w:fitText w:val="1280" w:id="-781549307"/>
        </w:rPr>
        <w:t>提案名称</w:t>
      </w:r>
      <w:r>
        <w:rPr>
          <w:rFonts w:hint="eastAsia" w:ascii="楷体_GB2312" w:hAnsi="楷体" w:eastAsia="楷体_GB2312" w:cs="楷体"/>
          <w:sz w:val="32"/>
          <w:szCs w:val="32"/>
        </w:rPr>
        <w:t>：关于牛家营子镇修建外环路的提案</w:t>
      </w:r>
    </w:p>
    <w:p w14:paraId="1F2968DD">
      <w:pPr>
        <w:spacing w:line="560" w:lineRule="exact"/>
        <w:rPr>
          <w:rFonts w:ascii="楷体_GB2312" w:hAnsi="楷体" w:eastAsia="楷体_GB2312" w:cs="楷体"/>
          <w:sz w:val="32"/>
          <w:szCs w:val="32"/>
        </w:rPr>
      </w:pPr>
      <w:r>
        <w:rPr>
          <w:rFonts w:hint="eastAsia" w:ascii="楷体_GB2312" w:hAnsi="楷体" w:eastAsia="楷体_GB2312" w:cs="楷体"/>
          <w:spacing w:val="80"/>
          <w:kern w:val="0"/>
          <w:sz w:val="32"/>
          <w:szCs w:val="32"/>
          <w:fitText w:val="1280" w:id="-781549306"/>
        </w:rPr>
        <w:t>提案</w:t>
      </w:r>
      <w:r>
        <w:rPr>
          <w:rFonts w:hint="eastAsia" w:ascii="楷体_GB2312" w:hAnsi="楷体" w:eastAsia="楷体_GB2312" w:cs="楷体"/>
          <w:spacing w:val="0"/>
          <w:kern w:val="0"/>
          <w:sz w:val="32"/>
          <w:szCs w:val="32"/>
          <w:fitText w:val="1280" w:id="-781549306"/>
        </w:rPr>
        <w:t>人</w:t>
      </w:r>
      <w:r>
        <w:rPr>
          <w:rFonts w:hint="eastAsia" w:ascii="楷体_GB2312" w:hAnsi="楷体" w:eastAsia="楷体_GB2312" w:cs="楷体"/>
          <w:sz w:val="32"/>
          <w:szCs w:val="32"/>
        </w:rPr>
        <w:t>：李涛</w:t>
      </w:r>
    </w:p>
    <w:p w14:paraId="4EDC2B2E">
      <w:pPr>
        <w:spacing w:line="560" w:lineRule="exact"/>
        <w:rPr>
          <w:rFonts w:ascii="楷体_GB2312" w:hAnsi="楷体" w:eastAsia="楷体_GB2312" w:cs="楷体"/>
          <w:sz w:val="32"/>
          <w:szCs w:val="32"/>
        </w:rPr>
      </w:pPr>
      <w:r>
        <w:rPr>
          <w:rFonts w:hint="eastAsia" w:ascii="楷体_GB2312" w:hAnsi="楷体" w:eastAsia="楷体_GB2312" w:cs="楷体"/>
          <w:sz w:val="32"/>
          <w:szCs w:val="32"/>
        </w:rPr>
        <w:t xml:space="preserve">联系方式：13947624909   </w:t>
      </w:r>
    </w:p>
    <w:p w14:paraId="6905E7A6">
      <w:pPr>
        <w:spacing w:line="560" w:lineRule="exact"/>
        <w:rPr>
          <w:rFonts w:ascii="楷体_GB2312" w:hAnsi="楷体" w:eastAsia="楷体_GB2312" w:cs="楷体"/>
          <w:sz w:val="32"/>
          <w:szCs w:val="32"/>
        </w:rPr>
      </w:pPr>
      <w:r>
        <w:rPr>
          <w:rFonts w:hint="eastAsia" w:ascii="楷体_GB2312" w:hAnsi="楷体" w:eastAsia="楷体_GB2312" w:cs="楷体"/>
          <w:spacing w:val="320"/>
          <w:kern w:val="0"/>
          <w:sz w:val="32"/>
          <w:szCs w:val="32"/>
          <w:fitText w:val="1280" w:id="-781549305"/>
        </w:rPr>
        <w:t>界</w:t>
      </w:r>
      <w:r>
        <w:rPr>
          <w:rFonts w:hint="eastAsia" w:ascii="楷体_GB2312" w:hAnsi="楷体" w:eastAsia="楷体_GB2312" w:cs="楷体"/>
          <w:spacing w:val="0"/>
          <w:kern w:val="0"/>
          <w:sz w:val="32"/>
          <w:szCs w:val="32"/>
          <w:fitText w:val="1280" w:id="-781549305"/>
        </w:rPr>
        <w:t>别</w:t>
      </w:r>
      <w:r>
        <w:rPr>
          <w:rFonts w:hint="eastAsia" w:ascii="楷体_GB2312" w:hAnsi="楷体" w:eastAsia="楷体_GB2312" w:cs="楷体"/>
          <w:sz w:val="32"/>
          <w:szCs w:val="32"/>
        </w:rPr>
        <w:t>：</w:t>
      </w:r>
      <w:r>
        <w:rPr>
          <w:rFonts w:hint="eastAsia" w:ascii="楷体_GB2312" w:hAnsi="楷体" w:eastAsia="楷体_GB2312" w:cs="楷体"/>
          <w:color w:val="333333"/>
          <w:sz w:val="32"/>
          <w:szCs w:val="32"/>
          <w:shd w:val="clear" w:color="auto" w:fill="FFFFFF"/>
        </w:rPr>
        <w:t>经济企业</w:t>
      </w:r>
    </w:p>
    <w:p w14:paraId="0E0F88E5">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关于牛家营子镇修建外环路的提案</w:t>
      </w:r>
    </w:p>
    <w:p w14:paraId="17152571">
      <w:pPr>
        <w:spacing w:line="560" w:lineRule="exact"/>
        <w:rPr>
          <w:rFonts w:ascii="黑体" w:hAnsi="黑体" w:eastAsia="黑体" w:cs="黑体"/>
          <w:sz w:val="32"/>
          <w:szCs w:val="32"/>
        </w:rPr>
      </w:pPr>
    </w:p>
    <w:p w14:paraId="17D63707">
      <w:pPr>
        <w:spacing w:line="560" w:lineRule="exact"/>
        <w:rPr>
          <w:rFonts w:ascii="黑体" w:hAnsi="黑体" w:eastAsia="黑体" w:cs="黑体"/>
          <w:sz w:val="32"/>
          <w:szCs w:val="32"/>
        </w:rPr>
      </w:pPr>
      <w:r>
        <w:rPr>
          <w:rFonts w:hint="eastAsia" w:ascii="黑体" w:hAnsi="黑体" w:eastAsia="黑体" w:cs="黑体"/>
          <w:sz w:val="32"/>
          <w:szCs w:val="32"/>
        </w:rPr>
        <w:t>一、存在的问题</w:t>
      </w:r>
    </w:p>
    <w:p w14:paraId="634E4213">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牛家营子镇作为中药材种植的重要基地，随着经济的发展和人口的增加，交通拥堵问题日益突出，特别是在中药材收获季节以及早晚高峰时段，部分主要路段和路口交通流量大，车辆排队积压现象严重，影响了居民的日常出行和企业的正常运营。交通拥堵不仅降低了道路通行效率，还增加了交通事故的风险，给人民群众的生命财产安全带来了隐患，因此，解决牛家营子镇交通拥堵问题，对于提升镇容镇貌、改善居民生活环境、促进经济发展具有重要意义。</w:t>
      </w:r>
    </w:p>
    <w:p w14:paraId="5B07CD90">
      <w:pPr>
        <w:pStyle w:val="25"/>
        <w:numPr>
          <w:ilvl w:val="0"/>
          <w:numId w:val="14"/>
        </w:numPr>
        <w:spacing w:line="560" w:lineRule="exact"/>
        <w:ind w:firstLineChars="0"/>
        <w:rPr>
          <w:rFonts w:ascii="黑体" w:hAnsi="黑体" w:eastAsia="黑体" w:cs="黑体"/>
          <w:sz w:val="32"/>
          <w:szCs w:val="32"/>
        </w:rPr>
      </w:pPr>
      <w:r>
        <w:rPr>
          <w:rFonts w:hint="eastAsia" w:ascii="黑体" w:hAnsi="黑体" w:eastAsia="黑体" w:cs="黑体"/>
          <w:sz w:val="32"/>
          <w:szCs w:val="32"/>
        </w:rPr>
        <w:t>建议</w:t>
      </w:r>
    </w:p>
    <w:p w14:paraId="43D38735">
      <w:pPr>
        <w:spacing w:line="560" w:lineRule="exact"/>
        <w:rPr>
          <w:rFonts w:ascii="仿宋_GB2312" w:hAnsi="仿宋" w:eastAsia="仿宋_GB2312" w:cs="仿宋"/>
          <w:sz w:val="32"/>
          <w:szCs w:val="32"/>
        </w:rPr>
      </w:pPr>
      <w:r>
        <w:rPr>
          <w:rFonts w:hint="eastAsia" w:ascii="楷体_GB2312" w:hAnsi="仿宋" w:eastAsia="楷体_GB2312" w:cs="仿宋"/>
          <w:sz w:val="32"/>
          <w:szCs w:val="32"/>
        </w:rPr>
        <w:t>（一）在牛家营子镇修建外环路。</w:t>
      </w:r>
      <w:r>
        <w:rPr>
          <w:rFonts w:hint="eastAsia" w:ascii="仿宋_GB2312" w:hAnsi="楷体" w:eastAsia="仿宋_GB2312" w:cs="楷体"/>
          <w:sz w:val="32"/>
          <w:szCs w:val="32"/>
        </w:rPr>
        <w:t>牛家营子镇外环路起止点</w:t>
      </w:r>
      <w:r>
        <w:rPr>
          <w:rFonts w:hint="eastAsia" w:ascii="仿宋_GB2312" w:eastAsia="仿宋_GB2312"/>
          <w:sz w:val="32"/>
          <w:szCs w:val="32"/>
        </w:rPr>
        <w:t>。</w:t>
      </w:r>
      <w:r>
        <w:rPr>
          <w:rFonts w:hint="eastAsia" w:ascii="仿宋_GB2312" w:hAnsi="仿宋" w:eastAsia="仿宋_GB2312" w:cs="仿宋"/>
          <w:sz w:val="32"/>
          <w:szCs w:val="32"/>
        </w:rPr>
        <w:t>北起牛家营子镇新药材交易市场，南至S206与G306交汇处。</w:t>
      </w:r>
    </w:p>
    <w:p w14:paraId="4F08E1EB">
      <w:pPr>
        <w:spacing w:line="560" w:lineRule="exact"/>
        <w:rPr>
          <w:rFonts w:ascii="仿宋_GB2312" w:hAnsi="楷体" w:eastAsia="仿宋_GB2312" w:cs="楷体"/>
          <w:sz w:val="32"/>
          <w:szCs w:val="32"/>
        </w:rPr>
      </w:pPr>
      <w:r>
        <w:rPr>
          <w:rFonts w:hint="eastAsia" w:ascii="楷体_GB2312" w:hAnsi="楷体" w:eastAsia="楷体_GB2312" w:cs="楷体"/>
          <w:sz w:val="32"/>
          <w:szCs w:val="32"/>
        </w:rPr>
        <w:t>（二）牛家营子镇修建外环路的必要性和影响。</w:t>
      </w:r>
      <w:r>
        <w:rPr>
          <w:rFonts w:hint="eastAsia" w:ascii="仿宋_GB2312" w:hAnsi="仿宋" w:eastAsia="仿宋_GB2312" w:cs="仿宋"/>
          <w:b/>
          <w:bCs/>
          <w:sz w:val="32"/>
          <w:szCs w:val="32"/>
        </w:rPr>
        <w:t>一是</w:t>
      </w:r>
      <w:r>
        <w:rPr>
          <w:rFonts w:hint="eastAsia" w:ascii="仿宋_GB2312" w:hAnsi="仿宋" w:eastAsia="仿宋_GB2312" w:cs="仿宋"/>
          <w:bCs/>
          <w:sz w:val="32"/>
          <w:szCs w:val="32"/>
        </w:rPr>
        <w:t>改善交通状况。</w:t>
      </w:r>
      <w:r>
        <w:rPr>
          <w:rFonts w:hint="eastAsia" w:ascii="仿宋_GB2312" w:hAnsi="仿宋" w:eastAsia="仿宋_GB2312" w:cs="仿宋"/>
          <w:sz w:val="32"/>
          <w:szCs w:val="32"/>
        </w:rPr>
        <w:t>外环路的修建将有效缓解镇内主要道路的交通压力，减少交通拥堵，提高出行效率。</w:t>
      </w:r>
      <w:r>
        <w:rPr>
          <w:rFonts w:hint="eastAsia" w:ascii="仿宋_GB2312" w:hAnsi="仿宋" w:eastAsia="仿宋_GB2312" w:cs="仿宋"/>
          <w:b/>
          <w:bCs/>
          <w:sz w:val="32"/>
          <w:szCs w:val="32"/>
        </w:rPr>
        <w:t>二是</w:t>
      </w:r>
      <w:r>
        <w:rPr>
          <w:rFonts w:hint="eastAsia" w:ascii="仿宋_GB2312" w:hAnsi="仿宋" w:eastAsia="仿宋_GB2312" w:cs="仿宋"/>
          <w:bCs/>
          <w:sz w:val="32"/>
          <w:szCs w:val="32"/>
        </w:rPr>
        <w:t>促进经济发展。</w:t>
      </w:r>
      <w:r>
        <w:rPr>
          <w:rFonts w:hint="eastAsia" w:ascii="仿宋_GB2312" w:hAnsi="仿宋" w:eastAsia="仿宋_GB2312" w:cs="仿宋"/>
          <w:sz w:val="32"/>
          <w:szCs w:val="32"/>
        </w:rPr>
        <w:t>外环路的建成将极大地方便物流运输，降低运输成本，吸引更多企业和投资，促进当地经济发展</w:t>
      </w:r>
      <w:r>
        <w:rPr>
          <w:rFonts w:hint="eastAsia" w:ascii="仿宋_GB2312" w:hAnsi="仿宋" w:eastAsia="仿宋_GB2312" w:cs="仿宋"/>
          <w:b/>
          <w:sz w:val="32"/>
          <w:szCs w:val="32"/>
        </w:rPr>
        <w:t>。</w:t>
      </w:r>
      <w:r>
        <w:rPr>
          <w:rFonts w:hint="eastAsia" w:ascii="仿宋_GB2312" w:hAnsi="仿宋" w:eastAsia="仿宋_GB2312" w:cs="仿宋"/>
          <w:b/>
          <w:bCs/>
          <w:sz w:val="32"/>
          <w:szCs w:val="32"/>
        </w:rPr>
        <w:t>三是</w:t>
      </w:r>
      <w:r>
        <w:rPr>
          <w:rFonts w:hint="eastAsia" w:ascii="仿宋_GB2312" w:hAnsi="仿宋" w:eastAsia="仿宋_GB2312" w:cs="仿宋"/>
          <w:bCs/>
          <w:sz w:val="32"/>
          <w:szCs w:val="32"/>
        </w:rPr>
        <w:t>提升居民生活质量。</w:t>
      </w:r>
      <w:r>
        <w:rPr>
          <w:rFonts w:hint="eastAsia" w:ascii="仿宋_GB2312" w:hAnsi="仿宋" w:eastAsia="仿宋_GB2312" w:cs="仿宋"/>
          <w:sz w:val="32"/>
          <w:szCs w:val="32"/>
        </w:rPr>
        <w:t>外环路的修建将减少镇内噪音和空气污染，改善居民的生活环境。同时，外环路的建设还将带动周边商业和住宅区的开发，提升居民的生活便利性。</w:t>
      </w:r>
    </w:p>
    <w:p w14:paraId="708E0275">
      <w:pPr>
        <w:spacing w:line="560" w:lineRule="exact"/>
        <w:rPr>
          <w:rFonts w:ascii="仿宋_GB2312" w:hAnsi="仿宋" w:eastAsia="仿宋_GB2312" w:cs="仿宋"/>
          <w:sz w:val="32"/>
          <w:szCs w:val="32"/>
        </w:rPr>
      </w:pPr>
    </w:p>
    <w:p w14:paraId="24ED3BBC">
      <w:pPr>
        <w:spacing w:line="560" w:lineRule="exact"/>
        <w:rPr>
          <w:rFonts w:ascii="仿宋_GB2312" w:eastAsia="仿宋_GB2312" w:hAnsiTheme="majorHAnsi" w:cstheme="majorEastAsia"/>
          <w:sz w:val="30"/>
          <w:szCs w:val="30"/>
        </w:rPr>
      </w:pPr>
      <w:r>
        <w:rPr>
          <w:rFonts w:hint="eastAsia" w:ascii="仿宋_GB2312" w:eastAsia="仿宋_GB2312" w:cs="楷体" w:hAnsiTheme="majorHAnsi"/>
          <w:sz w:val="32"/>
          <w:szCs w:val="32"/>
        </w:rPr>
        <w:t xml:space="preserve">     </w:t>
      </w:r>
      <w:r>
        <w:rPr>
          <w:rFonts w:hint="eastAsia" w:ascii="仿宋_GB2312" w:eastAsia="仿宋_GB2312" w:hAnsiTheme="majorHAnsi" w:cstheme="minorEastAsia"/>
          <w:sz w:val="32"/>
          <w:szCs w:val="32"/>
        </w:rPr>
        <w:t xml:space="preserve">  </w:t>
      </w:r>
    </w:p>
    <w:p w14:paraId="544039AF">
      <w:pPr>
        <w:widowControl/>
        <w:spacing w:line="560" w:lineRule="exact"/>
        <w:jc w:val="left"/>
        <w:rPr>
          <w:rFonts w:ascii="楷体_GB2312" w:hAnsi="方正楷体_GBK" w:eastAsia="楷体_GB2312" w:cs="方正楷体_GBK"/>
          <w:color w:val="000000"/>
          <w:spacing w:val="5"/>
          <w:kern w:val="0"/>
          <w:szCs w:val="32"/>
        </w:rPr>
      </w:pPr>
    </w:p>
    <w:p w14:paraId="739BC24B">
      <w:pPr>
        <w:widowControl/>
        <w:spacing w:line="560" w:lineRule="exact"/>
        <w:jc w:val="left"/>
        <w:rPr>
          <w:rFonts w:ascii="楷体_GB2312" w:hAnsi="方正楷体_GBK" w:eastAsia="楷体_GB2312" w:cs="方正楷体_GBK"/>
          <w:color w:val="000000"/>
          <w:spacing w:val="5"/>
          <w:kern w:val="0"/>
          <w:szCs w:val="32"/>
        </w:rPr>
      </w:pPr>
    </w:p>
    <w:p w14:paraId="1A724025">
      <w:pPr>
        <w:widowControl/>
        <w:spacing w:line="560" w:lineRule="exact"/>
        <w:jc w:val="left"/>
        <w:rPr>
          <w:rFonts w:ascii="楷体_GB2312" w:hAnsi="方正楷体_GBK" w:eastAsia="楷体_GB2312" w:cs="方正楷体_GBK"/>
          <w:color w:val="000000"/>
          <w:spacing w:val="5"/>
          <w:kern w:val="0"/>
          <w:szCs w:val="32"/>
        </w:rPr>
      </w:pPr>
    </w:p>
    <w:p w14:paraId="7429241B">
      <w:pPr>
        <w:widowControl/>
        <w:spacing w:line="560" w:lineRule="exact"/>
        <w:jc w:val="left"/>
        <w:rPr>
          <w:rFonts w:ascii="楷体_GB2312" w:hAnsi="方正楷体_GBK" w:eastAsia="楷体_GB2312" w:cs="方正楷体_GBK"/>
          <w:color w:val="000000"/>
          <w:spacing w:val="5"/>
          <w:kern w:val="0"/>
          <w:szCs w:val="32"/>
        </w:rPr>
      </w:pPr>
    </w:p>
    <w:p w14:paraId="42D71C98">
      <w:pPr>
        <w:widowControl/>
        <w:spacing w:line="560" w:lineRule="exact"/>
        <w:jc w:val="left"/>
        <w:rPr>
          <w:rFonts w:ascii="楷体_GB2312" w:hAnsi="方正楷体_GBK" w:eastAsia="楷体_GB2312" w:cs="方正楷体_GBK"/>
          <w:color w:val="000000"/>
          <w:spacing w:val="5"/>
          <w:kern w:val="0"/>
          <w:szCs w:val="32"/>
        </w:rPr>
      </w:pPr>
    </w:p>
    <w:p w14:paraId="3EA96DBF">
      <w:pPr>
        <w:widowControl/>
        <w:spacing w:line="560" w:lineRule="exact"/>
        <w:jc w:val="left"/>
        <w:rPr>
          <w:rFonts w:ascii="楷体_GB2312" w:hAnsi="方正楷体_GBK" w:eastAsia="楷体_GB2312" w:cs="方正楷体_GBK"/>
          <w:color w:val="000000"/>
          <w:spacing w:val="5"/>
          <w:kern w:val="0"/>
          <w:szCs w:val="32"/>
        </w:rPr>
      </w:pPr>
    </w:p>
    <w:p w14:paraId="5FD71476">
      <w:pPr>
        <w:widowControl/>
        <w:spacing w:line="560" w:lineRule="exact"/>
        <w:jc w:val="left"/>
        <w:rPr>
          <w:rFonts w:ascii="楷体_GB2312" w:hAnsi="方正楷体_GBK" w:eastAsia="楷体_GB2312" w:cs="方正楷体_GBK"/>
          <w:color w:val="000000"/>
          <w:spacing w:val="5"/>
          <w:kern w:val="0"/>
          <w:szCs w:val="32"/>
        </w:rPr>
      </w:pPr>
    </w:p>
    <w:p w14:paraId="4356E638">
      <w:pPr>
        <w:widowControl/>
        <w:spacing w:line="560" w:lineRule="exact"/>
        <w:jc w:val="left"/>
        <w:rPr>
          <w:rFonts w:ascii="楷体_GB2312" w:hAnsi="方正楷体_GBK" w:eastAsia="楷体_GB2312" w:cs="方正楷体_GBK"/>
          <w:color w:val="000000"/>
          <w:spacing w:val="5"/>
          <w:kern w:val="0"/>
          <w:szCs w:val="32"/>
        </w:rPr>
      </w:pPr>
    </w:p>
    <w:p w14:paraId="5953069F">
      <w:pPr>
        <w:widowControl/>
        <w:spacing w:line="560" w:lineRule="exact"/>
        <w:jc w:val="left"/>
        <w:rPr>
          <w:rFonts w:ascii="楷体_GB2312" w:hAnsi="方正楷体_GBK" w:eastAsia="楷体_GB2312" w:cs="方正楷体_GBK"/>
          <w:color w:val="000000"/>
          <w:spacing w:val="5"/>
          <w:kern w:val="0"/>
          <w:szCs w:val="32"/>
        </w:rPr>
      </w:pPr>
    </w:p>
    <w:p w14:paraId="78F6C91C">
      <w:pPr>
        <w:widowControl/>
        <w:spacing w:line="560" w:lineRule="exact"/>
        <w:jc w:val="left"/>
        <w:rPr>
          <w:rFonts w:ascii="楷体_GB2312" w:hAnsi="方正楷体_GBK" w:eastAsia="楷体_GB2312" w:cs="方正楷体_GBK"/>
          <w:color w:val="000000"/>
          <w:spacing w:val="5"/>
          <w:kern w:val="0"/>
          <w:szCs w:val="32"/>
        </w:rPr>
      </w:pPr>
    </w:p>
    <w:p w14:paraId="1F3707BD">
      <w:pPr>
        <w:widowControl/>
        <w:spacing w:line="560" w:lineRule="exact"/>
        <w:jc w:val="left"/>
        <w:rPr>
          <w:rFonts w:ascii="楷体_GB2312" w:hAnsi="方正楷体_GBK" w:eastAsia="楷体_GB2312" w:cs="方正楷体_GBK"/>
          <w:color w:val="000000"/>
          <w:spacing w:val="5"/>
          <w:kern w:val="0"/>
          <w:szCs w:val="32"/>
        </w:rPr>
      </w:pPr>
    </w:p>
    <w:p w14:paraId="4FB11118">
      <w:pPr>
        <w:widowControl/>
        <w:spacing w:line="560" w:lineRule="exact"/>
        <w:jc w:val="left"/>
        <w:rPr>
          <w:rFonts w:ascii="楷体_GB2312" w:hAnsi="方正楷体_GBK" w:eastAsia="楷体_GB2312" w:cs="方正楷体_GBK"/>
          <w:color w:val="000000"/>
          <w:spacing w:val="5"/>
          <w:kern w:val="0"/>
          <w:szCs w:val="32"/>
        </w:rPr>
      </w:pPr>
    </w:p>
    <w:p w14:paraId="3402B660">
      <w:pPr>
        <w:widowControl/>
        <w:spacing w:line="560" w:lineRule="exact"/>
        <w:jc w:val="left"/>
        <w:rPr>
          <w:rFonts w:ascii="楷体_GB2312" w:hAnsi="方正楷体_GBK" w:eastAsia="楷体_GB2312" w:cs="方正楷体_GBK"/>
          <w:color w:val="000000"/>
          <w:spacing w:val="5"/>
          <w:kern w:val="0"/>
          <w:szCs w:val="32"/>
        </w:rPr>
      </w:pPr>
    </w:p>
    <w:p w14:paraId="0D72BDA2">
      <w:pPr>
        <w:widowControl/>
        <w:spacing w:line="560" w:lineRule="exact"/>
        <w:jc w:val="left"/>
        <w:rPr>
          <w:rFonts w:ascii="楷体_GB2312" w:hAnsi="方正楷体_GBK" w:eastAsia="楷体_GB2312" w:cs="方正楷体_GBK"/>
          <w:color w:val="000000"/>
          <w:spacing w:val="5"/>
          <w:kern w:val="0"/>
          <w:szCs w:val="32"/>
        </w:rPr>
      </w:pPr>
    </w:p>
    <w:p w14:paraId="5E16A1E5">
      <w:pPr>
        <w:widowControl/>
        <w:spacing w:line="560" w:lineRule="exact"/>
        <w:jc w:val="left"/>
        <w:rPr>
          <w:rFonts w:ascii="楷体_GB2312" w:hAnsi="方正楷体_GBK" w:eastAsia="楷体_GB2312" w:cs="方正楷体_GBK"/>
          <w:color w:val="000000"/>
          <w:spacing w:val="5"/>
          <w:kern w:val="0"/>
          <w:szCs w:val="32"/>
        </w:rPr>
      </w:pPr>
    </w:p>
    <w:p w14:paraId="3A371638">
      <w:pPr>
        <w:widowControl/>
        <w:spacing w:line="560" w:lineRule="exact"/>
        <w:jc w:val="left"/>
        <w:rPr>
          <w:rFonts w:ascii="楷体_GB2312" w:hAnsi="方正楷体_GBK" w:eastAsia="楷体_GB2312" w:cs="方正楷体_GBK"/>
          <w:color w:val="000000"/>
          <w:spacing w:val="5"/>
          <w:kern w:val="0"/>
          <w:szCs w:val="32"/>
        </w:rPr>
      </w:pPr>
    </w:p>
    <w:p w14:paraId="400C6CB8">
      <w:pPr>
        <w:widowControl/>
        <w:spacing w:line="560" w:lineRule="exact"/>
        <w:jc w:val="left"/>
        <w:rPr>
          <w:rFonts w:ascii="楷体_GB2312" w:hAnsi="方正楷体_GBK" w:eastAsia="楷体_GB2312" w:cs="方正楷体_GBK"/>
          <w:color w:val="000000"/>
          <w:spacing w:val="5"/>
          <w:kern w:val="0"/>
          <w:szCs w:val="32"/>
        </w:rPr>
      </w:pPr>
    </w:p>
    <w:p w14:paraId="2E6C2F5E">
      <w:pPr>
        <w:widowControl/>
        <w:spacing w:line="560" w:lineRule="exact"/>
        <w:jc w:val="left"/>
        <w:rPr>
          <w:rFonts w:ascii="楷体_GB2312" w:hAnsi="方正楷体_GBK" w:eastAsia="楷体_GB2312" w:cs="方正楷体_GBK"/>
          <w:color w:val="000000"/>
          <w:spacing w:val="5"/>
          <w:kern w:val="0"/>
          <w:szCs w:val="32"/>
        </w:rPr>
      </w:pPr>
    </w:p>
    <w:p w14:paraId="2C2DF719">
      <w:pPr>
        <w:widowControl/>
        <w:spacing w:line="560" w:lineRule="exact"/>
        <w:jc w:val="left"/>
        <w:rPr>
          <w:rFonts w:ascii="楷体_GB2312" w:hAnsi="方正楷体_GBK" w:eastAsia="楷体_GB2312" w:cs="方正楷体_GBK"/>
          <w:color w:val="000000"/>
          <w:spacing w:val="5"/>
          <w:kern w:val="0"/>
          <w:szCs w:val="32"/>
        </w:rPr>
      </w:pPr>
    </w:p>
    <w:p w14:paraId="2C1E6CEF">
      <w:pPr>
        <w:widowControl/>
        <w:spacing w:line="560" w:lineRule="exact"/>
        <w:jc w:val="left"/>
        <w:rPr>
          <w:rFonts w:ascii="楷体_GB2312" w:hAnsi="方正楷体_GBK" w:eastAsia="楷体_GB2312" w:cs="方正楷体_GBK"/>
          <w:color w:val="000000"/>
          <w:spacing w:val="5"/>
          <w:kern w:val="0"/>
          <w:sz w:val="32"/>
          <w:szCs w:val="32"/>
        </w:rPr>
      </w:pPr>
      <w:r>
        <w:rPr>
          <w:rFonts w:hint="eastAsia" w:ascii="楷体_GB2312" w:hAnsi="方正楷体_GBK" w:eastAsia="楷体_GB2312" w:cs="方正楷体_GBK"/>
          <w:color w:val="000000"/>
          <w:spacing w:val="5"/>
          <w:kern w:val="0"/>
          <w:sz w:val="32"/>
          <w:szCs w:val="32"/>
        </w:rPr>
        <w:t>提案编号：055</w:t>
      </w:r>
    </w:p>
    <w:p w14:paraId="5A258C58">
      <w:pPr>
        <w:spacing w:line="560" w:lineRule="exact"/>
        <w:rPr>
          <w:rFonts w:ascii="楷体_GB2312" w:eastAsia="楷体_GB2312"/>
          <w:sz w:val="32"/>
          <w:szCs w:val="32"/>
        </w:rPr>
      </w:pPr>
      <w:r>
        <w:rPr>
          <w:rFonts w:hint="eastAsia" w:ascii="楷体_GB2312" w:hAnsi="方正楷体_GBK" w:eastAsia="楷体_GB2312" w:cs="方正楷体_GBK"/>
          <w:color w:val="000000"/>
          <w:spacing w:val="5"/>
          <w:sz w:val="32"/>
          <w:szCs w:val="32"/>
        </w:rPr>
        <w:t>提案名称：</w:t>
      </w:r>
      <w:r>
        <w:rPr>
          <w:rFonts w:hint="eastAsia" w:ascii="楷体_GB2312" w:eastAsia="楷体_GB2312"/>
          <w:sz w:val="32"/>
          <w:szCs w:val="32"/>
        </w:rPr>
        <w:t>关于全旗就业情况的提案</w:t>
      </w:r>
    </w:p>
    <w:p w14:paraId="7BC05BD1">
      <w:pPr>
        <w:widowControl/>
        <w:spacing w:line="560" w:lineRule="exact"/>
        <w:jc w:val="left"/>
        <w:rPr>
          <w:rFonts w:ascii="楷体_GB2312" w:hAnsi="方正楷体_GBK" w:eastAsia="楷体_GB2312" w:cs="方正楷体_GBK"/>
          <w:color w:val="000000"/>
          <w:spacing w:val="5"/>
          <w:kern w:val="0"/>
          <w:sz w:val="32"/>
          <w:szCs w:val="32"/>
        </w:rPr>
      </w:pPr>
      <w:r>
        <w:rPr>
          <w:rFonts w:hint="eastAsia" w:ascii="楷体_GB2312" w:hAnsi="方正楷体_GBK" w:eastAsia="楷体_GB2312" w:cs="方正楷体_GBK"/>
          <w:color w:val="000000"/>
          <w:spacing w:val="5"/>
          <w:kern w:val="0"/>
          <w:sz w:val="32"/>
          <w:szCs w:val="32"/>
        </w:rPr>
        <w:t>提 案 人：</w:t>
      </w:r>
      <w:r>
        <w:rPr>
          <w:rFonts w:hint="eastAsia" w:ascii="楷体_GB2312" w:hAnsi="宋体" w:eastAsia="楷体_GB2312" w:cs="宋体"/>
          <w:kern w:val="0"/>
          <w:sz w:val="32"/>
          <w:szCs w:val="32"/>
        </w:rPr>
        <w:t>曹博文</w:t>
      </w:r>
    </w:p>
    <w:p w14:paraId="3F4FF13A">
      <w:pPr>
        <w:spacing w:line="560" w:lineRule="exact"/>
        <w:rPr>
          <w:rFonts w:ascii="楷体_GB2312" w:hAnsi="华文仿宋" w:eastAsia="楷体_GB2312" w:cs="华文仿宋"/>
          <w:kern w:val="0"/>
          <w:sz w:val="32"/>
          <w:szCs w:val="32"/>
        </w:rPr>
      </w:pPr>
      <w:r>
        <w:rPr>
          <w:rFonts w:hint="eastAsia" w:ascii="楷体_GB2312" w:hAnsi="方正楷体_GBK" w:eastAsia="楷体_GB2312" w:cs="方正楷体_GBK"/>
          <w:color w:val="000000"/>
          <w:spacing w:val="5"/>
          <w:sz w:val="32"/>
          <w:szCs w:val="32"/>
        </w:rPr>
        <w:t>联系方式：</w:t>
      </w:r>
      <w:r>
        <w:rPr>
          <w:rFonts w:hint="eastAsia" w:ascii="楷体_GB2312" w:hAnsi="华文仿宋" w:eastAsia="楷体_GB2312" w:cs="华文仿宋"/>
          <w:kern w:val="0"/>
          <w:sz w:val="32"/>
          <w:szCs w:val="32"/>
        </w:rPr>
        <w:t>18147675158</w:t>
      </w:r>
    </w:p>
    <w:p w14:paraId="2A56F14E">
      <w:pPr>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界    别：中国共产主义青年团</w:t>
      </w:r>
    </w:p>
    <w:p w14:paraId="00CB8828">
      <w:pPr>
        <w:jc w:val="center"/>
        <w:rPr>
          <w:rFonts w:ascii="方正小标宋简体" w:hAnsi="方正小标宋简体" w:eastAsia="方正小标宋简体" w:cs="方正小标宋简体"/>
          <w:sz w:val="44"/>
          <w:szCs w:val="36"/>
        </w:rPr>
      </w:pPr>
      <w:r>
        <w:rPr>
          <w:rFonts w:hint="eastAsia" w:ascii="方正小标宋简体" w:hAnsi="方正小标宋简体" w:eastAsia="方正小标宋简体" w:cs="方正小标宋简体"/>
          <w:sz w:val="44"/>
          <w:szCs w:val="36"/>
        </w:rPr>
        <w:t>关于全旗就业情况的提案</w:t>
      </w:r>
    </w:p>
    <w:p w14:paraId="10B86119">
      <w:pPr>
        <w:spacing w:line="600" w:lineRule="exact"/>
        <w:ind w:firstLine="640"/>
        <w:rPr>
          <w:rFonts w:ascii="仿宋_GB2312" w:eastAsia="仿宋_GB2312"/>
          <w:sz w:val="32"/>
          <w:szCs w:val="32"/>
        </w:rPr>
      </w:pPr>
      <w:r>
        <w:rPr>
          <w:rFonts w:hint="eastAsia" w:ascii="仿宋_GB2312" w:eastAsia="仿宋_GB2312"/>
          <w:sz w:val="32"/>
          <w:szCs w:val="32"/>
        </w:rPr>
        <w:t>近年来，我旗坚持实施就业优先战略，加快推进政府职能转变和“放管服”改革，进一步营造了大众创业、万众创新的良好环境。</w:t>
      </w:r>
    </w:p>
    <w:p w14:paraId="216E734E">
      <w:pPr>
        <w:spacing w:line="600" w:lineRule="exact"/>
        <w:ind w:firstLine="640"/>
        <w:rPr>
          <w:rFonts w:ascii="黑体" w:hAnsi="黑体" w:eastAsia="黑体" w:cs="黑体"/>
          <w:sz w:val="32"/>
          <w:szCs w:val="32"/>
        </w:rPr>
      </w:pPr>
      <w:r>
        <w:rPr>
          <w:rFonts w:hint="eastAsia" w:ascii="黑体" w:hAnsi="黑体" w:eastAsia="黑体" w:cs="黑体"/>
          <w:sz w:val="32"/>
          <w:szCs w:val="32"/>
        </w:rPr>
        <w:t>一、基本现状</w:t>
      </w:r>
    </w:p>
    <w:p w14:paraId="583C8CD0">
      <w:pPr>
        <w:spacing w:line="600" w:lineRule="exact"/>
        <w:ind w:firstLine="640"/>
        <w:rPr>
          <w:rFonts w:ascii="仿宋_GB2312" w:eastAsia="仿宋_GB2312"/>
          <w:sz w:val="32"/>
          <w:szCs w:val="32"/>
        </w:rPr>
      </w:pPr>
      <w:r>
        <w:rPr>
          <w:rFonts w:hint="eastAsia" w:ascii="仿宋_GB2312" w:eastAsia="仿宋_GB2312"/>
          <w:sz w:val="32"/>
          <w:szCs w:val="32"/>
        </w:rPr>
        <w:t>截至2024年8月，全旗共有户籍人口34.12万人，其中劳动年龄人口约20.68万人；非劳动年龄人口约13.44万人。</w:t>
      </w:r>
    </w:p>
    <w:p w14:paraId="3C12DF4B">
      <w:pPr>
        <w:spacing w:line="600" w:lineRule="exact"/>
        <w:ind w:firstLine="640"/>
        <w:rPr>
          <w:rFonts w:ascii="仿宋_GB2312" w:eastAsia="仿宋_GB2312"/>
          <w:sz w:val="32"/>
          <w:szCs w:val="32"/>
        </w:rPr>
      </w:pPr>
      <w:r>
        <w:rPr>
          <w:rFonts w:hint="eastAsia" w:ascii="仿宋_GB2312" w:hAnsi="楷体_GB2312" w:eastAsia="仿宋_GB2312" w:cs="楷体_GB2312"/>
          <w:sz w:val="32"/>
          <w:szCs w:val="32"/>
        </w:rPr>
        <w:t>（一）农村劳动力就业情况。</w:t>
      </w:r>
      <w:r>
        <w:rPr>
          <w:rFonts w:hint="eastAsia" w:ascii="仿宋_GB2312" w:eastAsia="仿宋_GB2312"/>
          <w:sz w:val="32"/>
          <w:szCs w:val="32"/>
        </w:rPr>
        <w:t>全旗农村劳动力约14.04万人，占劳动力总数的67.89%；转移就业4.8万人，占农村劳动力的34.19%，近期返乡劳动力1402人。</w:t>
      </w:r>
    </w:p>
    <w:p w14:paraId="54A1495B">
      <w:pPr>
        <w:spacing w:line="600" w:lineRule="exact"/>
        <w:ind w:firstLine="640"/>
        <w:rPr>
          <w:rFonts w:ascii="仿宋_GB2312" w:eastAsia="仿宋_GB2312"/>
          <w:sz w:val="32"/>
          <w:szCs w:val="32"/>
        </w:rPr>
      </w:pPr>
      <w:r>
        <w:rPr>
          <w:rFonts w:hint="eastAsia" w:ascii="仿宋_GB2312" w:hAnsi="楷体_GB2312" w:eastAsia="仿宋_GB2312" w:cs="楷体_GB2312"/>
          <w:sz w:val="32"/>
          <w:szCs w:val="32"/>
        </w:rPr>
        <w:t>（二）城镇居民就业情况。</w:t>
      </w:r>
      <w:r>
        <w:rPr>
          <w:rFonts w:hint="eastAsia" w:ascii="仿宋_GB2312" w:eastAsia="仿宋_GB2312"/>
          <w:sz w:val="32"/>
          <w:szCs w:val="32"/>
        </w:rPr>
        <w:t>全旗城镇居民劳动力6.64万人，就业人数约5.34万人，。</w:t>
      </w:r>
    </w:p>
    <w:p w14:paraId="0AC6DF5B">
      <w:pPr>
        <w:spacing w:line="600" w:lineRule="exact"/>
        <w:ind w:firstLine="640"/>
        <w:rPr>
          <w:rFonts w:ascii="仿宋_GB2312" w:eastAsia="仿宋_GB2312"/>
          <w:sz w:val="32"/>
          <w:szCs w:val="32"/>
        </w:rPr>
      </w:pPr>
      <w:r>
        <w:rPr>
          <w:rFonts w:hint="eastAsia" w:ascii="仿宋_GB2312" w:hAnsi="楷体_GB2312" w:eastAsia="仿宋_GB2312" w:cs="楷体_GB2312"/>
          <w:sz w:val="32"/>
          <w:szCs w:val="32"/>
        </w:rPr>
        <w:t>（三）创业带动就业情况。</w:t>
      </w:r>
      <w:r>
        <w:rPr>
          <w:rFonts w:hint="eastAsia" w:ascii="仿宋_GB2312" w:eastAsia="仿宋_GB2312"/>
          <w:sz w:val="32"/>
          <w:szCs w:val="32"/>
        </w:rPr>
        <w:t>深入实施创业培训“马兰花”计划和创业担保贷款政策，2023年以来开展创业培训班9期289人，发放创业担保贷款22笔597万元，带动就业200余人。积极落实“筑巢孵化育创”计划，充分依托旗内农民工返乡创业园和孵化基地作用，入驻实体360户、带动就业10543人。</w:t>
      </w:r>
    </w:p>
    <w:p w14:paraId="4C8C1436">
      <w:pPr>
        <w:spacing w:line="600" w:lineRule="exact"/>
        <w:ind w:firstLine="640"/>
        <w:rPr>
          <w:rFonts w:ascii="仿宋_GB2312" w:eastAsia="仿宋_GB2312"/>
          <w:sz w:val="32"/>
          <w:szCs w:val="32"/>
        </w:rPr>
      </w:pPr>
      <w:r>
        <w:rPr>
          <w:rFonts w:hint="eastAsia" w:ascii="仿宋_GB2312" w:hAnsi="楷体_GB2312" w:eastAsia="仿宋_GB2312" w:cs="楷体_GB2312"/>
          <w:sz w:val="32"/>
          <w:szCs w:val="32"/>
        </w:rPr>
        <w:t>（四）旗内企业用工情况。</w:t>
      </w:r>
      <w:r>
        <w:rPr>
          <w:rFonts w:hint="eastAsia" w:ascii="仿宋_GB2312" w:eastAsia="仿宋_GB2312"/>
          <w:sz w:val="32"/>
          <w:szCs w:val="32"/>
        </w:rPr>
        <w:t>调查摸底旗内规上工业企业22家，合计用工4000余人，其中，3家企业反映高新技术人员招工困难。</w:t>
      </w:r>
    </w:p>
    <w:p w14:paraId="55E67D46">
      <w:pPr>
        <w:spacing w:line="600" w:lineRule="exact"/>
        <w:ind w:firstLine="640"/>
        <w:rPr>
          <w:rFonts w:eastAsia="黑体"/>
          <w:sz w:val="32"/>
          <w:szCs w:val="32"/>
        </w:rPr>
      </w:pPr>
      <w:r>
        <w:rPr>
          <w:rFonts w:hint="eastAsia" w:eastAsia="黑体"/>
          <w:sz w:val="32"/>
          <w:szCs w:val="32"/>
        </w:rPr>
        <w:t>二、存在问题</w:t>
      </w:r>
    </w:p>
    <w:p w14:paraId="3597EE99">
      <w:pPr>
        <w:spacing w:line="600" w:lineRule="exact"/>
        <w:ind w:firstLine="640"/>
        <w:rPr>
          <w:rFonts w:ascii="仿宋_GB2312" w:eastAsia="仿宋_GB2312"/>
          <w:sz w:val="32"/>
          <w:szCs w:val="32"/>
        </w:rPr>
      </w:pPr>
      <w:r>
        <w:rPr>
          <w:rFonts w:hint="eastAsia" w:ascii="仿宋_GB2312" w:eastAsia="仿宋_GB2312"/>
          <w:sz w:val="32"/>
          <w:szCs w:val="32"/>
        </w:rPr>
        <w:t>虽然我旗就业形势总体比较稳定，但仍然存在一些困难和问题，主要表现在以下四个方面。</w:t>
      </w:r>
    </w:p>
    <w:p w14:paraId="628B3E1F">
      <w:pPr>
        <w:spacing w:line="600" w:lineRule="exact"/>
        <w:ind w:firstLine="640"/>
        <w:rPr>
          <w:rFonts w:ascii="仿宋_GB2312" w:eastAsia="仿宋_GB2312"/>
          <w:sz w:val="32"/>
          <w:szCs w:val="32"/>
        </w:rPr>
      </w:pPr>
      <w:r>
        <w:rPr>
          <w:rFonts w:hint="eastAsia" w:ascii="仿宋_GB2312" w:hAnsi="楷体" w:eastAsia="仿宋_GB2312" w:cs="楷体_GB2312"/>
          <w:sz w:val="32"/>
          <w:szCs w:val="32"/>
        </w:rPr>
        <w:t>（一）就业结构性矛盾比较突出</w:t>
      </w:r>
      <w:r>
        <w:rPr>
          <w:rFonts w:hint="eastAsia" w:ascii="仿宋_GB2312" w:hAnsi="楷体_GB2312" w:eastAsia="仿宋_GB2312" w:cs="楷体_GB2312"/>
          <w:sz w:val="32"/>
          <w:szCs w:val="32"/>
        </w:rPr>
        <w:t>。</w:t>
      </w:r>
      <w:r>
        <w:rPr>
          <w:rFonts w:hint="eastAsia" w:ascii="仿宋_GB2312" w:eastAsia="仿宋_GB2312"/>
          <w:sz w:val="32"/>
          <w:szCs w:val="32"/>
        </w:rPr>
        <w:t>受化解过剩产能等经济发展大环境影响，市场主体吸纳就业能力有所下降。一些未就业高校毕业生和家长择业观念滞后，就业渠道不宽，创业有畏难情绪，“就业难”和“用工难”现象并存，就业结构性矛盾依然较为突出。</w:t>
      </w:r>
    </w:p>
    <w:p w14:paraId="4588683B">
      <w:pPr>
        <w:spacing w:line="600" w:lineRule="exact"/>
        <w:ind w:firstLine="640"/>
        <w:rPr>
          <w:rFonts w:ascii="仿宋_GB2312" w:eastAsia="仿宋_GB2312"/>
          <w:sz w:val="32"/>
          <w:szCs w:val="32"/>
        </w:rPr>
      </w:pPr>
      <w:r>
        <w:rPr>
          <w:rFonts w:hint="eastAsia" w:ascii="仿宋_GB2312" w:hAnsi="楷体_GB2312" w:eastAsia="仿宋_GB2312" w:cs="楷体_GB2312"/>
          <w:sz w:val="32"/>
          <w:szCs w:val="32"/>
        </w:rPr>
        <w:t>（二）服务体系不够完善。</w:t>
      </w:r>
      <w:r>
        <w:rPr>
          <w:rFonts w:hint="eastAsia" w:ascii="仿宋_GB2312" w:eastAsia="仿宋_GB2312"/>
          <w:sz w:val="32"/>
          <w:szCs w:val="32"/>
        </w:rPr>
        <w:t>全旗上下齐抓共管、合力推进就业创业的工作格局还未完全形成，部门协作合力推进就业创业的空间还比较大，服务体系信息化程度不高，“信息孤岛”仍然存在，未能实现就业创业信息适时采集、传递和共享。</w:t>
      </w:r>
    </w:p>
    <w:p w14:paraId="1FAB4306">
      <w:pPr>
        <w:spacing w:line="600" w:lineRule="exact"/>
        <w:ind w:firstLine="640"/>
        <w:rPr>
          <w:rFonts w:ascii="仿宋_GB2312" w:eastAsia="仿宋_GB2312"/>
          <w:sz w:val="32"/>
          <w:szCs w:val="32"/>
        </w:rPr>
      </w:pPr>
      <w:r>
        <w:rPr>
          <w:rFonts w:hint="eastAsia" w:ascii="仿宋_GB2312" w:hAnsi="楷体_GB2312" w:eastAsia="仿宋_GB2312" w:cs="楷体_GB2312"/>
          <w:sz w:val="32"/>
          <w:szCs w:val="32"/>
        </w:rPr>
        <w:t>（三）融资难问题依然突出。</w:t>
      </w:r>
      <w:r>
        <w:rPr>
          <w:rFonts w:hint="eastAsia" w:ascii="仿宋_GB2312" w:eastAsia="仿宋_GB2312"/>
          <w:sz w:val="32"/>
          <w:szCs w:val="32"/>
        </w:rPr>
        <w:t>创业资金缺乏，融资难仍然是横在创业者面前的第一大“门槛”和“瓶颈”。一方面创业者有创业担保贷款需求，另一方面受经办金融机构少以及放贷风险大、担保方式单一等因素的影响，创业者很难真正成功办理创业担保贷款。</w:t>
      </w:r>
    </w:p>
    <w:p w14:paraId="0655CC08">
      <w:pPr>
        <w:spacing w:line="600" w:lineRule="exact"/>
        <w:ind w:firstLine="640"/>
        <w:rPr>
          <w:rFonts w:ascii="仿宋_GB2312" w:eastAsia="仿宋_GB2312"/>
          <w:sz w:val="32"/>
          <w:szCs w:val="32"/>
        </w:rPr>
      </w:pPr>
      <w:r>
        <w:rPr>
          <w:rFonts w:hint="eastAsia" w:ascii="仿宋_GB2312" w:hAnsi="楷体_GB2312" w:eastAsia="仿宋_GB2312" w:cs="楷体_GB2312"/>
          <w:sz w:val="32"/>
          <w:szCs w:val="32"/>
        </w:rPr>
        <w:t>（四）创业成本逐年攀高。</w:t>
      </w:r>
      <w:r>
        <w:rPr>
          <w:rFonts w:hint="eastAsia" w:ascii="仿宋_GB2312" w:eastAsia="仿宋_GB2312"/>
          <w:sz w:val="32"/>
          <w:szCs w:val="32"/>
        </w:rPr>
        <w:t>餐饮服务、商品零售、汽车美容、平面设计等投资小、回报快的第三产业已经成为吸纳就业的主体，但受城区房地产市场环境等因素影响，房租和门面房价格逐年上涨，第三产业创业场地成本连年高价运行，成为有创业意愿人群身后的隐形“门槛”。</w:t>
      </w:r>
    </w:p>
    <w:p w14:paraId="5E1B262D">
      <w:pPr>
        <w:spacing w:line="600" w:lineRule="exact"/>
        <w:ind w:firstLine="640"/>
        <w:rPr>
          <w:rFonts w:ascii="黑体" w:hAnsi="黑体" w:eastAsia="黑体" w:cs="黑体"/>
          <w:sz w:val="32"/>
          <w:szCs w:val="32"/>
        </w:rPr>
      </w:pPr>
      <w:r>
        <w:rPr>
          <w:rFonts w:hint="eastAsia" w:ascii="黑体" w:hAnsi="黑体" w:eastAsia="黑体" w:cs="黑体"/>
          <w:sz w:val="32"/>
          <w:szCs w:val="32"/>
        </w:rPr>
        <w:t>三、建议</w:t>
      </w:r>
    </w:p>
    <w:p w14:paraId="61F6C515">
      <w:pPr>
        <w:spacing w:line="600" w:lineRule="exact"/>
        <w:ind w:firstLine="640"/>
        <w:rPr>
          <w:rFonts w:ascii="仿宋_GB2312" w:eastAsia="仿宋_GB2312"/>
          <w:sz w:val="32"/>
          <w:szCs w:val="32"/>
        </w:rPr>
      </w:pPr>
      <w:r>
        <w:rPr>
          <w:rFonts w:hint="eastAsia" w:ascii="仿宋_GB2312" w:eastAsia="仿宋_GB2312"/>
          <w:sz w:val="32"/>
          <w:szCs w:val="32"/>
        </w:rPr>
        <w:t>（一）着力完善政策体系促就业。</w:t>
      </w:r>
      <w:r>
        <w:rPr>
          <w:rFonts w:hint="eastAsia" w:ascii="仿宋_GB2312" w:eastAsia="仿宋_GB2312"/>
          <w:b/>
          <w:bCs/>
          <w:color w:val="000000"/>
          <w:sz w:val="32"/>
          <w:szCs w:val="32"/>
        </w:rPr>
        <w:t>一是切实加强政策衔接落实。</w:t>
      </w:r>
      <w:r>
        <w:rPr>
          <w:rFonts w:hint="eastAsia" w:ascii="仿宋_GB2312" w:eastAsia="仿宋_GB2312"/>
          <w:sz w:val="32"/>
          <w:szCs w:val="32"/>
        </w:rPr>
        <w:t>要坚持以法律为依据，加大与财政、金融、教育等部门的衔接，进一步完善就业托底保障、小微企业创业担保贷款等政策，实现联动融合，一体实施。</w:t>
      </w:r>
      <w:r>
        <w:rPr>
          <w:rFonts w:hint="eastAsia" w:ascii="仿宋_GB2312" w:eastAsia="仿宋_GB2312"/>
          <w:b/>
          <w:bCs/>
          <w:color w:val="000000"/>
          <w:sz w:val="32"/>
          <w:szCs w:val="32"/>
        </w:rPr>
        <w:t>二是加强政策宣传解读。</w:t>
      </w:r>
      <w:r>
        <w:rPr>
          <w:rFonts w:hint="eastAsia" w:ascii="仿宋_GB2312" w:eastAsia="仿宋_GB2312"/>
          <w:sz w:val="32"/>
          <w:szCs w:val="32"/>
        </w:rPr>
        <w:t>要紧密结合“走基层送政策”“走企业访需求”活动，针对用人单位、劳动者不同受众需求，主动上门送政策、送服务、送培训，不断扩大政策知晓度和覆盖面。</w:t>
      </w:r>
      <w:r>
        <w:rPr>
          <w:rFonts w:hint="eastAsia" w:ascii="仿宋_GB2312" w:eastAsia="仿宋_GB2312"/>
          <w:b/>
          <w:bCs/>
          <w:color w:val="000000"/>
          <w:sz w:val="32"/>
          <w:szCs w:val="32"/>
        </w:rPr>
        <w:t>三是着力提升服务水平。</w:t>
      </w:r>
      <w:r>
        <w:rPr>
          <w:rFonts w:hint="eastAsia" w:ascii="仿宋_GB2312" w:eastAsia="仿宋_GB2312"/>
          <w:sz w:val="32"/>
          <w:szCs w:val="32"/>
        </w:rPr>
        <w:t>要加快推进公共就业服务平台标准化建设，实现旗、乡、村公共就业网络服务平台上下贯通，打通城乡公共就业服务“最后一公里”，形成线上线下融合、信息互联互通、精准推送服务的就业服务信息平台。</w:t>
      </w:r>
    </w:p>
    <w:p w14:paraId="7E4E54D1">
      <w:pPr>
        <w:pStyle w:val="11"/>
        <w:spacing w:beforeAutospacing="0" w:afterAutospacing="0" w:line="600" w:lineRule="exact"/>
        <w:ind w:firstLine="640"/>
        <w:rPr>
          <w:rFonts w:ascii="仿宋_GB2312" w:eastAsia="仿宋_GB2312"/>
          <w:sz w:val="32"/>
          <w:szCs w:val="32"/>
        </w:rPr>
      </w:pPr>
      <w:r>
        <w:rPr>
          <w:rFonts w:hint="eastAsia" w:ascii="仿宋_GB2312" w:eastAsia="仿宋_GB2312"/>
          <w:kern w:val="2"/>
          <w:sz w:val="32"/>
          <w:szCs w:val="32"/>
        </w:rPr>
        <w:t>（二）着力促进经济发展稳就业。</w:t>
      </w:r>
      <w:r>
        <w:rPr>
          <w:rFonts w:hint="eastAsia" w:ascii="仿宋_GB2312" w:eastAsia="仿宋_GB2312"/>
          <w:b/>
          <w:bCs/>
          <w:color w:val="000000"/>
          <w:kern w:val="2"/>
          <w:sz w:val="32"/>
          <w:szCs w:val="32"/>
        </w:rPr>
        <w:t>一是扩大就业增量。</w:t>
      </w:r>
      <w:r>
        <w:rPr>
          <w:rFonts w:hint="eastAsia" w:ascii="仿宋_GB2312" w:eastAsia="仿宋_GB2312"/>
          <w:kern w:val="2"/>
          <w:sz w:val="32"/>
          <w:szCs w:val="32"/>
        </w:rPr>
        <w:t>要</w:t>
      </w:r>
      <w:r>
        <w:rPr>
          <w:rFonts w:hint="eastAsia" w:ascii="仿宋_GB2312" w:eastAsia="仿宋_GB2312"/>
          <w:sz w:val="32"/>
          <w:szCs w:val="32"/>
        </w:rPr>
        <w:t>盯紧就业容量大的制造业、服务业等劳动密集型企业，</w:t>
      </w:r>
      <w:r>
        <w:rPr>
          <w:rFonts w:hint="eastAsia" w:ascii="仿宋_GB2312" w:eastAsia="仿宋_GB2312"/>
          <w:kern w:val="2"/>
          <w:sz w:val="32"/>
          <w:szCs w:val="32"/>
        </w:rPr>
        <w:t>持续加大招商引资、重点项目建设力度，深度挖掘第二产业就业潜力，全力提升第三产业发展水平和质量，鼓励支持企业本地用工，创造更多适合各类群体的就业岗位。</w:t>
      </w:r>
      <w:r>
        <w:rPr>
          <w:rFonts w:hint="eastAsia" w:ascii="仿宋_GB2312" w:eastAsia="仿宋_GB2312"/>
          <w:b/>
          <w:bCs/>
          <w:color w:val="000000"/>
          <w:kern w:val="2"/>
          <w:sz w:val="32"/>
          <w:szCs w:val="32"/>
        </w:rPr>
        <w:t>二是支持自主创业。</w:t>
      </w:r>
      <w:r>
        <w:rPr>
          <w:rFonts w:hint="eastAsia" w:ascii="仿宋_GB2312" w:eastAsia="仿宋_GB2312"/>
          <w:kern w:val="2"/>
          <w:sz w:val="32"/>
          <w:szCs w:val="32"/>
        </w:rPr>
        <w:t>各有关部门要强化主动服务意识，通过加大金融、税费等政策降低企业成本，切实从场地、贷款、奖补、培训、等方面给予创业者实实在在支持。</w:t>
      </w:r>
      <w:r>
        <w:rPr>
          <w:rFonts w:hint="eastAsia" w:ascii="仿宋_GB2312" w:eastAsia="仿宋_GB2312"/>
          <w:b/>
          <w:bCs/>
          <w:color w:val="000000"/>
          <w:kern w:val="2"/>
          <w:sz w:val="32"/>
          <w:szCs w:val="32"/>
        </w:rPr>
        <w:t>三是鼓励灵活就业。</w:t>
      </w:r>
      <w:r>
        <w:rPr>
          <w:rFonts w:hint="eastAsia" w:ascii="仿宋_GB2312" w:eastAsia="仿宋_GB2312"/>
          <w:kern w:val="2"/>
          <w:sz w:val="32"/>
          <w:szCs w:val="32"/>
        </w:rPr>
        <w:t>要充分发挥零工市场供需对接作用，及时更新用工信息，对有就业意愿的提供多样化、多门类的就地就近就业选择，支持劳动者多渠道灵活就业。</w:t>
      </w:r>
    </w:p>
    <w:p w14:paraId="242805CD">
      <w:pPr>
        <w:spacing w:line="600" w:lineRule="exact"/>
        <w:ind w:firstLine="640"/>
        <w:rPr>
          <w:rFonts w:ascii="仿宋_GB2312" w:eastAsia="仿宋_GB2312"/>
          <w:sz w:val="32"/>
          <w:szCs w:val="32"/>
        </w:rPr>
      </w:pPr>
      <w:r>
        <w:rPr>
          <w:rFonts w:hint="eastAsia" w:ascii="仿宋_GB2312" w:eastAsia="仿宋_GB2312"/>
          <w:sz w:val="32"/>
          <w:szCs w:val="32"/>
        </w:rPr>
        <w:t>（三）着力保障重点群体抓就业。</w:t>
      </w:r>
      <w:r>
        <w:rPr>
          <w:rFonts w:hint="eastAsia" w:ascii="仿宋_GB2312" w:eastAsia="仿宋_GB2312"/>
          <w:b/>
          <w:sz w:val="32"/>
          <w:szCs w:val="32"/>
        </w:rPr>
        <w:t>一是持续抓好高校毕业生就业创业。</w:t>
      </w:r>
      <w:r>
        <w:rPr>
          <w:rFonts w:hint="eastAsia" w:ascii="仿宋_GB2312" w:eastAsia="仿宋_GB2312"/>
          <w:color w:val="000000"/>
          <w:sz w:val="32"/>
          <w:szCs w:val="32"/>
        </w:rPr>
        <w:t>积极开展各类线上线下招聘活动，对达成就业意向人员，要密切关注后续对接和劳动合同签订情况，持续“牵线搭桥”，促成求职者和企业尽快签约。</w:t>
      </w:r>
      <w:r>
        <w:rPr>
          <w:rFonts w:hint="eastAsia" w:ascii="仿宋_GB2312" w:eastAsia="仿宋_GB2312"/>
          <w:b/>
          <w:sz w:val="32"/>
          <w:szCs w:val="32"/>
        </w:rPr>
        <w:t>二是全面</w:t>
      </w:r>
      <w:r>
        <w:rPr>
          <w:rFonts w:hint="eastAsia" w:ascii="仿宋_GB2312" w:eastAsia="仿宋_GB2312"/>
          <w:b/>
          <w:color w:val="000000"/>
          <w:sz w:val="32"/>
          <w:szCs w:val="32"/>
        </w:rPr>
        <w:t>畅通农牧民工转移就业渠道。</w:t>
      </w:r>
      <w:r>
        <w:rPr>
          <w:rFonts w:hint="eastAsia" w:ascii="仿宋_GB2312" w:eastAsia="仿宋_GB2312"/>
          <w:bCs/>
          <w:color w:val="000000"/>
          <w:sz w:val="32"/>
          <w:szCs w:val="32"/>
        </w:rPr>
        <w:t>要依托乡村振兴工程，通过支持农村牧区转移劳动力就地就近就业、</w:t>
      </w:r>
      <w:r>
        <w:rPr>
          <w:rFonts w:hint="eastAsia" w:ascii="仿宋_GB2312" w:eastAsia="仿宋_GB2312"/>
          <w:sz w:val="32"/>
          <w:szCs w:val="32"/>
        </w:rPr>
        <w:t>探索在“三变”改革试点村组建劳务合作社等举措，</w:t>
      </w:r>
      <w:r>
        <w:rPr>
          <w:rFonts w:hint="eastAsia" w:ascii="仿宋_GB2312" w:eastAsia="仿宋_GB2312"/>
          <w:bCs/>
          <w:color w:val="000000"/>
          <w:sz w:val="32"/>
          <w:szCs w:val="32"/>
        </w:rPr>
        <w:t>支持农村牧区转移劳动力参与农牧产品加工、特色旅游等劳动密集型产业项目。</w:t>
      </w:r>
      <w:r>
        <w:rPr>
          <w:rFonts w:hint="eastAsia" w:ascii="仿宋_GB2312" w:eastAsia="仿宋_GB2312"/>
          <w:b/>
          <w:bCs/>
          <w:sz w:val="32"/>
          <w:szCs w:val="32"/>
        </w:rPr>
        <w:t>三是做好其他重点群体就业帮扶。</w:t>
      </w:r>
      <w:r>
        <w:rPr>
          <w:rFonts w:hint="eastAsia" w:ascii="仿宋_GB2312" w:eastAsia="仿宋_GB2312"/>
          <w:sz w:val="32"/>
          <w:szCs w:val="32"/>
        </w:rPr>
        <w:t>要积极落实好退役军人计划安置、技能培训、自主就业等相关政策，</w:t>
      </w:r>
      <w:r>
        <w:rPr>
          <w:rFonts w:hint="eastAsia" w:ascii="仿宋_GB2312" w:eastAsia="仿宋_GB2312"/>
          <w:color w:val="000000"/>
          <w:sz w:val="32"/>
          <w:szCs w:val="32"/>
        </w:rPr>
        <w:t>全面掌握残疾人就业状况与就业培训需求信息，积极主动对接服务需求。</w:t>
      </w:r>
      <w:r>
        <w:rPr>
          <w:rFonts w:hint="eastAsia" w:ascii="仿宋_GB2312" w:eastAsia="仿宋_GB2312"/>
          <w:sz w:val="32"/>
          <w:szCs w:val="32"/>
        </w:rPr>
        <w:t>要强化下岗失业人员、低保家庭、零就业家庭等群体就业援助，落实公益性岗位安置政策，织密扎牢困难群体的就业底线。</w:t>
      </w:r>
    </w:p>
    <w:p w14:paraId="65BB2DC9">
      <w:pPr>
        <w:spacing w:line="600" w:lineRule="exact"/>
        <w:ind w:firstLine="640"/>
        <w:rPr>
          <w:rFonts w:ascii="仿宋_GB2312" w:eastAsia="仿宋_GB2312"/>
          <w:sz w:val="32"/>
          <w:szCs w:val="32"/>
        </w:rPr>
      </w:pPr>
      <w:r>
        <w:rPr>
          <w:rFonts w:hint="eastAsia" w:ascii="仿宋_GB2312" w:eastAsia="仿宋_GB2312"/>
          <w:sz w:val="32"/>
          <w:szCs w:val="32"/>
        </w:rPr>
        <w:t>（四）着力增强能力素质优就业。</w:t>
      </w:r>
      <w:r>
        <w:rPr>
          <w:rFonts w:hint="eastAsia" w:ascii="仿宋_GB2312" w:eastAsia="仿宋_GB2312"/>
          <w:b/>
          <w:color w:val="000000"/>
          <w:kern w:val="0"/>
          <w:sz w:val="32"/>
          <w:szCs w:val="32"/>
        </w:rPr>
        <w:t>一是抓好高质量职业技能培训。</w:t>
      </w:r>
      <w:r>
        <w:rPr>
          <w:rFonts w:hint="eastAsia" w:ascii="仿宋_GB2312" w:eastAsia="仿宋_GB2312"/>
          <w:color w:val="000000"/>
          <w:kern w:val="0"/>
          <w:sz w:val="32"/>
          <w:szCs w:val="32"/>
        </w:rPr>
        <w:t>要充分发挥培训品牌和示范基地的引领作用，持续完善企业、职业院校、培训机构资源共建共享机制，构建能够满足高质量发展和现代经济发展需要的公共职业技能实训体系。</w:t>
      </w:r>
      <w:r>
        <w:rPr>
          <w:rFonts w:hint="eastAsia" w:ascii="仿宋_GB2312" w:eastAsia="仿宋_GB2312"/>
          <w:b/>
          <w:color w:val="000000"/>
          <w:kern w:val="0"/>
          <w:sz w:val="32"/>
          <w:szCs w:val="32"/>
        </w:rPr>
        <w:t>二是抓好专业技术人才培养。</w:t>
      </w:r>
      <w:r>
        <w:rPr>
          <w:rFonts w:hint="eastAsia" w:ascii="仿宋_GB2312" w:eastAsia="仿宋_GB2312"/>
          <w:color w:val="000000"/>
          <w:kern w:val="0"/>
          <w:sz w:val="32"/>
          <w:szCs w:val="32"/>
        </w:rPr>
        <w:t>围绕壮大高技能领军人才、急需紧缺人才和青年技能人才三类技能人才队伍，</w:t>
      </w:r>
      <w:r>
        <w:rPr>
          <w:rFonts w:hint="eastAsia" w:ascii="仿宋_GB2312" w:eastAsia="仿宋_GB2312"/>
          <w:sz w:val="32"/>
          <w:szCs w:val="32"/>
        </w:rPr>
        <w:t>加强急需紧缺职业（工种）培训，进一步深化政企校协同，拓展实习就业岗位。</w:t>
      </w:r>
    </w:p>
    <w:p w14:paraId="09FD8189">
      <w:pPr>
        <w:ind w:firstLine="640"/>
      </w:pPr>
    </w:p>
    <w:p w14:paraId="6AED5F93">
      <w:pPr>
        <w:rPr>
          <w:rFonts w:ascii="楷体_GB2312" w:eastAsia="楷体_GB2312"/>
          <w:sz w:val="32"/>
          <w:szCs w:val="32"/>
        </w:rPr>
      </w:pPr>
    </w:p>
    <w:p w14:paraId="4D23B552">
      <w:pPr>
        <w:rPr>
          <w:rFonts w:ascii="楷体_GB2312" w:eastAsia="楷体_GB2312"/>
          <w:sz w:val="32"/>
          <w:szCs w:val="32"/>
        </w:rPr>
      </w:pPr>
    </w:p>
    <w:p w14:paraId="1B570DDF">
      <w:pPr>
        <w:rPr>
          <w:rFonts w:ascii="楷体_GB2312" w:eastAsia="楷体_GB2312"/>
          <w:sz w:val="32"/>
          <w:szCs w:val="32"/>
        </w:rPr>
      </w:pPr>
    </w:p>
    <w:p w14:paraId="3A55DD2E">
      <w:pPr>
        <w:rPr>
          <w:rFonts w:ascii="楷体_GB2312" w:eastAsia="楷体_GB2312"/>
          <w:sz w:val="32"/>
          <w:szCs w:val="32"/>
        </w:rPr>
      </w:pPr>
    </w:p>
    <w:p w14:paraId="3FB15E9C">
      <w:pPr>
        <w:rPr>
          <w:rFonts w:ascii="楷体_GB2312" w:eastAsia="楷体_GB2312"/>
          <w:sz w:val="32"/>
          <w:szCs w:val="32"/>
        </w:rPr>
      </w:pPr>
    </w:p>
    <w:p w14:paraId="3EA4C06C">
      <w:pPr>
        <w:rPr>
          <w:rFonts w:ascii="楷体_GB2312" w:eastAsia="楷体_GB2312"/>
          <w:sz w:val="32"/>
          <w:szCs w:val="32"/>
        </w:rPr>
      </w:pPr>
    </w:p>
    <w:p w14:paraId="32FF29F0">
      <w:pPr>
        <w:rPr>
          <w:rFonts w:ascii="楷体_GB2312" w:eastAsia="楷体_GB2312"/>
          <w:sz w:val="32"/>
          <w:szCs w:val="32"/>
        </w:rPr>
      </w:pPr>
    </w:p>
    <w:p w14:paraId="42BD1A2A">
      <w:pPr>
        <w:rPr>
          <w:rFonts w:ascii="楷体_GB2312" w:eastAsia="楷体_GB2312"/>
          <w:sz w:val="32"/>
          <w:szCs w:val="32"/>
        </w:rPr>
      </w:pPr>
    </w:p>
    <w:p w14:paraId="760E6832">
      <w:pPr>
        <w:rPr>
          <w:rFonts w:ascii="楷体_GB2312" w:eastAsia="楷体_GB2312"/>
          <w:sz w:val="32"/>
          <w:szCs w:val="32"/>
        </w:rPr>
      </w:pPr>
    </w:p>
    <w:p w14:paraId="5EF99B8E">
      <w:pPr>
        <w:rPr>
          <w:rFonts w:ascii="楷体_GB2312" w:eastAsia="楷体_GB2312"/>
          <w:sz w:val="32"/>
          <w:szCs w:val="32"/>
        </w:rPr>
      </w:pPr>
    </w:p>
    <w:p w14:paraId="4152EB4E">
      <w:pPr>
        <w:rPr>
          <w:rFonts w:ascii="楷体_GB2312" w:eastAsia="楷体_GB2312"/>
          <w:sz w:val="32"/>
          <w:szCs w:val="32"/>
        </w:rPr>
      </w:pPr>
    </w:p>
    <w:p w14:paraId="4B112377">
      <w:pPr>
        <w:rPr>
          <w:rFonts w:ascii="楷体_GB2312" w:eastAsia="楷体_GB2312"/>
          <w:sz w:val="32"/>
          <w:szCs w:val="32"/>
        </w:rPr>
      </w:pPr>
    </w:p>
    <w:p w14:paraId="7C675752">
      <w:pPr>
        <w:rPr>
          <w:rFonts w:ascii="楷体_GB2312" w:eastAsia="楷体_GB2312"/>
          <w:sz w:val="32"/>
          <w:szCs w:val="32"/>
        </w:rPr>
      </w:pPr>
    </w:p>
    <w:p w14:paraId="7206C59D">
      <w:pPr>
        <w:rPr>
          <w:rFonts w:ascii="楷体_GB2312" w:eastAsia="楷体_GB2312"/>
          <w:sz w:val="32"/>
          <w:szCs w:val="32"/>
        </w:rPr>
      </w:pPr>
    </w:p>
    <w:p w14:paraId="16130BE8">
      <w:pPr>
        <w:rPr>
          <w:rFonts w:ascii="楷体_GB2312" w:eastAsia="楷体_GB2312"/>
          <w:sz w:val="32"/>
          <w:szCs w:val="32"/>
        </w:rPr>
      </w:pPr>
    </w:p>
    <w:p w14:paraId="15F9CD9F">
      <w:pPr>
        <w:rPr>
          <w:rFonts w:ascii="楷体_GB2312" w:eastAsia="楷体_GB2312"/>
          <w:sz w:val="32"/>
          <w:szCs w:val="32"/>
        </w:rPr>
      </w:pPr>
    </w:p>
    <w:p w14:paraId="302862E1">
      <w:pPr>
        <w:rPr>
          <w:rFonts w:ascii="楷体_GB2312" w:eastAsia="楷体_GB2312"/>
          <w:sz w:val="32"/>
          <w:szCs w:val="32"/>
        </w:rPr>
      </w:pPr>
    </w:p>
    <w:p w14:paraId="02C72CF7">
      <w:pPr>
        <w:rPr>
          <w:rFonts w:ascii="楷体_GB2312" w:eastAsia="楷体_GB2312"/>
          <w:sz w:val="32"/>
          <w:szCs w:val="32"/>
        </w:rPr>
      </w:pPr>
    </w:p>
    <w:p w14:paraId="20DB1FEC">
      <w:pPr>
        <w:rPr>
          <w:rFonts w:ascii="楷体_GB2312" w:eastAsia="楷体_GB2312"/>
          <w:sz w:val="32"/>
          <w:szCs w:val="32"/>
        </w:rPr>
      </w:pPr>
    </w:p>
    <w:p w14:paraId="0C5B0BC9">
      <w:pPr>
        <w:rPr>
          <w:rFonts w:ascii="楷体_GB2312" w:eastAsia="楷体_GB2312"/>
          <w:sz w:val="32"/>
          <w:szCs w:val="32"/>
        </w:rPr>
      </w:pPr>
      <w:r>
        <w:rPr>
          <w:rFonts w:hint="eastAsia" w:ascii="楷体_GB2312" w:eastAsia="楷体_GB2312"/>
          <w:sz w:val="32"/>
          <w:szCs w:val="32"/>
        </w:rPr>
        <w:t>提案编号:056</w:t>
      </w:r>
    </w:p>
    <w:p w14:paraId="0FD36BD4">
      <w:pPr>
        <w:rPr>
          <w:rFonts w:ascii="楷体_GB2312" w:eastAsia="楷体_GB2312"/>
          <w:sz w:val="32"/>
          <w:szCs w:val="32"/>
        </w:rPr>
      </w:pPr>
      <w:r>
        <w:rPr>
          <w:rFonts w:hint="eastAsia" w:ascii="楷体_GB2312" w:hAnsi="楷体_GB2312" w:eastAsia="楷体_GB2312" w:cs="楷体_GB2312"/>
          <w:sz w:val="32"/>
          <w:szCs w:val="32"/>
        </w:rPr>
        <w:t>提案名称:</w:t>
      </w:r>
      <w:r>
        <w:rPr>
          <w:rFonts w:hint="eastAsia" w:ascii="楷体_GB2312" w:eastAsia="楷体_GB2312"/>
          <w:sz w:val="32"/>
          <w:szCs w:val="32"/>
        </w:rPr>
        <w:t>关于提高河滨路段路灯亮度的提案</w:t>
      </w:r>
    </w:p>
    <w:p w14:paraId="4A2B8861">
      <w:pPr>
        <w:rPr>
          <w:rFonts w:ascii="楷体_GB2312" w:eastAsia="楷体_GB2312"/>
          <w:sz w:val="32"/>
          <w:szCs w:val="32"/>
        </w:rPr>
      </w:pPr>
      <w:r>
        <w:rPr>
          <w:rFonts w:hint="eastAsia" w:ascii="楷体_GB2312" w:eastAsia="楷体_GB2312"/>
          <w:sz w:val="32"/>
          <w:szCs w:val="32"/>
        </w:rPr>
        <w:t>提 案 人:马晓红</w:t>
      </w:r>
    </w:p>
    <w:p w14:paraId="0A51E230">
      <w:pPr>
        <w:rPr>
          <w:rFonts w:ascii="楷体_GB2312" w:eastAsia="楷体_GB2312"/>
          <w:sz w:val="32"/>
          <w:szCs w:val="32"/>
        </w:rPr>
      </w:pPr>
      <w:r>
        <w:rPr>
          <w:rFonts w:hint="eastAsia" w:ascii="楷体_GB2312" w:eastAsia="楷体_GB2312"/>
          <w:sz w:val="32"/>
          <w:szCs w:val="32"/>
        </w:rPr>
        <w:t>联系方式：13848968922</w:t>
      </w:r>
    </w:p>
    <w:p w14:paraId="2DD02098">
      <w:pPr>
        <w:rPr>
          <w:rFonts w:ascii="楷体_GB2312" w:eastAsia="楷体_GB2312"/>
          <w:sz w:val="32"/>
          <w:szCs w:val="32"/>
        </w:rPr>
      </w:pPr>
      <w:r>
        <w:rPr>
          <w:rFonts w:hint="eastAsia" w:ascii="楷体_GB2312" w:eastAsia="楷体_GB2312"/>
          <w:sz w:val="32"/>
          <w:szCs w:val="32"/>
        </w:rPr>
        <w:t>界    别:医药卫生</w:t>
      </w:r>
    </w:p>
    <w:p w14:paraId="0C2BB322">
      <w:pPr>
        <w:pStyle w:val="12"/>
        <w:ind w:firstLine="880"/>
        <w:rPr>
          <w:rStyle w:val="16"/>
          <w:rFonts w:ascii="方正小标宋简体" w:eastAsia="方正小标宋简体"/>
          <w:b w:val="0"/>
          <w:sz w:val="44"/>
          <w:szCs w:val="44"/>
        </w:rPr>
      </w:pPr>
      <w:r>
        <w:rPr>
          <w:rStyle w:val="16"/>
          <w:rFonts w:hint="eastAsia" w:ascii="方正小标宋简体" w:eastAsia="方正小标宋简体"/>
          <w:b w:val="0"/>
          <w:sz w:val="44"/>
          <w:szCs w:val="44"/>
        </w:rPr>
        <w:t>关于提高河滨路段路灯亮度的提案</w:t>
      </w:r>
    </w:p>
    <w:p w14:paraId="4245586C">
      <w:r>
        <w:rPr>
          <w:rFonts w:hint="eastAsia"/>
        </w:rPr>
        <w:t xml:space="preserve">                     </w:t>
      </w:r>
    </w:p>
    <w:p w14:paraId="33EE285C">
      <w:pPr>
        <w:ind w:firstLine="640"/>
        <w:rPr>
          <w:rFonts w:ascii="仿宋_GB2312" w:eastAsia="仿宋_GB2312"/>
          <w:sz w:val="32"/>
          <w:szCs w:val="32"/>
        </w:rPr>
      </w:pPr>
      <w:r>
        <w:rPr>
          <w:rFonts w:hint="eastAsia" w:ascii="仿宋_GB2312" w:eastAsia="仿宋_GB2312"/>
          <w:sz w:val="32"/>
          <w:szCs w:val="32"/>
        </w:rPr>
        <w:t>随着城市的不断发展及人们生活水平的提高，人们的健康意识也正在发生着变化，锻炼身体成为人们生活中不可或缺的部分，为此路灯的作用也变得越来越重要。路灯就像黑夜的守护者，不仅提供照明，增加路面的亮度，还能提高夜间车辆及行人的安全。</w:t>
      </w:r>
    </w:p>
    <w:p w14:paraId="415AA49C">
      <w:pPr>
        <w:ind w:firstLine="640"/>
        <w:rPr>
          <w:rFonts w:ascii="黑体" w:eastAsia="黑体"/>
          <w:sz w:val="32"/>
          <w:szCs w:val="32"/>
        </w:rPr>
      </w:pPr>
      <w:r>
        <w:rPr>
          <w:rFonts w:hint="eastAsia" w:ascii="黑体" w:eastAsia="黑体"/>
          <w:sz w:val="32"/>
          <w:szCs w:val="32"/>
        </w:rPr>
        <w:t>一、建议</w:t>
      </w:r>
    </w:p>
    <w:p w14:paraId="777E398D">
      <w:pPr>
        <w:pStyle w:val="25"/>
        <w:numPr>
          <w:ilvl w:val="0"/>
          <w:numId w:val="15"/>
        </w:numPr>
        <w:ind w:firstLineChars="0"/>
        <w:rPr>
          <w:rFonts w:ascii="仿宋_GB2312" w:eastAsia="仿宋_GB2312"/>
          <w:sz w:val="32"/>
          <w:szCs w:val="32"/>
        </w:rPr>
      </w:pPr>
      <w:r>
        <w:rPr>
          <w:rFonts w:hint="eastAsia" w:ascii="仿宋_GB2312" w:eastAsia="仿宋_GB2312"/>
          <w:b/>
          <w:sz w:val="32"/>
          <w:szCs w:val="32"/>
        </w:rPr>
        <w:t>更换路灯：</w:t>
      </w:r>
      <w:r>
        <w:rPr>
          <w:rFonts w:hint="eastAsia" w:ascii="仿宋_GB2312" w:eastAsia="仿宋_GB2312"/>
          <w:sz w:val="32"/>
          <w:szCs w:val="32"/>
        </w:rPr>
        <w:t>从主大桥向西刚转过到艺术中心这段路，车流量大，道路拥挤，虽然有路灯，因为亮度不够，导致光线昏暗，易引发交通事故。建议更换LED灯，增加亮度。</w:t>
      </w:r>
    </w:p>
    <w:p w14:paraId="474BCA0D">
      <w:pPr>
        <w:pStyle w:val="25"/>
        <w:numPr>
          <w:ilvl w:val="0"/>
          <w:numId w:val="15"/>
        </w:numPr>
        <w:ind w:firstLineChars="0"/>
        <w:rPr>
          <w:rFonts w:ascii="仿宋_GB2312" w:eastAsia="仿宋_GB2312"/>
          <w:sz w:val="32"/>
          <w:szCs w:val="32"/>
        </w:rPr>
      </w:pPr>
      <w:r>
        <w:rPr>
          <w:rFonts w:hint="eastAsia" w:ascii="仿宋_GB2312" w:eastAsia="仿宋_GB2312"/>
          <w:b/>
          <w:sz w:val="32"/>
          <w:szCs w:val="32"/>
        </w:rPr>
        <w:t>增设路灯：</w:t>
      </w:r>
      <w:r>
        <w:rPr>
          <w:rFonts w:hint="eastAsia" w:ascii="仿宋_GB2312" w:eastAsia="仿宋_GB2312"/>
          <w:sz w:val="32"/>
          <w:szCs w:val="32"/>
        </w:rPr>
        <w:t>从艺术中心到第四大桥，这段路照明依靠大坝及广场的灯提供，然而这两处灯灯光昏暗，且离马路相对较远，尤其冬季5：00—6：00夜幕已经降临，老百姓开始去广场参加各种活动，而此时间段正好是下班高峰，车辆及行人较多，老百姓从大坝去广场需走台阶再横穿马路，此段路灯昏暗，视线不清加上两车灯光交会，易导致司机视线模糊，引发交通事故。建议这个路段增设路灯，照亮车辆及行人的前行之路。</w:t>
      </w:r>
    </w:p>
    <w:p w14:paraId="1D111CE4">
      <w:pPr>
        <w:pStyle w:val="25"/>
        <w:numPr>
          <w:ilvl w:val="0"/>
          <w:numId w:val="15"/>
        </w:numPr>
        <w:ind w:firstLineChars="0"/>
        <w:rPr>
          <w:rFonts w:ascii="仿宋_GB2312" w:eastAsia="仿宋_GB2312"/>
          <w:sz w:val="32"/>
          <w:szCs w:val="32"/>
        </w:rPr>
      </w:pPr>
      <w:r>
        <w:rPr>
          <w:rFonts w:hint="eastAsia" w:ascii="仿宋_GB2312" w:eastAsia="仿宋_GB2312"/>
          <w:b/>
          <w:sz w:val="32"/>
          <w:szCs w:val="32"/>
        </w:rPr>
        <w:t>加强路灯维护：</w:t>
      </w:r>
      <w:r>
        <w:rPr>
          <w:rFonts w:hint="eastAsia" w:ascii="仿宋_GB2312" w:eastAsia="仿宋_GB2312"/>
          <w:sz w:val="32"/>
          <w:szCs w:val="32"/>
        </w:rPr>
        <w:t>定期维护和清洁路灯，确保其正常运行，也是提高路灯亮度的重要措施。加强路灯维护，能及时发现路灯故障。若有故障及时更换或维修，在维修过程中可以调整路灯角度及位置，以提高亮度。</w:t>
      </w:r>
    </w:p>
    <w:p w14:paraId="1124BC22">
      <w:pPr>
        <w:ind w:firstLine="640"/>
        <w:rPr>
          <w:rFonts w:ascii="仿宋_GB2312" w:eastAsia="仿宋_GB2312"/>
          <w:sz w:val="32"/>
          <w:szCs w:val="32"/>
        </w:rPr>
      </w:pPr>
      <w:r>
        <w:rPr>
          <w:rFonts w:hint="eastAsia" w:ascii="仿宋_GB2312" w:eastAsia="仿宋_GB2312"/>
          <w:sz w:val="32"/>
          <w:szCs w:val="32"/>
        </w:rPr>
        <w:t xml:space="preserve">    总之增设河滨路段路灯及提高路灯亮度，是道路交通安全的重要举措，也是城市发展的需要。</w:t>
      </w:r>
    </w:p>
    <w:p w14:paraId="3F385267">
      <w:pPr>
        <w:ind w:firstLine="640"/>
        <w:rPr>
          <w:sz w:val="32"/>
          <w:szCs w:val="32"/>
        </w:rPr>
      </w:pPr>
    </w:p>
    <w:p w14:paraId="042E0FDF">
      <w:pPr>
        <w:rPr>
          <w:rFonts w:ascii="楷体_GB2312" w:hAnsi="楷体_GB2312" w:eastAsia="楷体_GB2312" w:cs="楷体_GB2312"/>
          <w:sz w:val="32"/>
          <w:szCs w:val="32"/>
        </w:rPr>
      </w:pPr>
    </w:p>
    <w:p w14:paraId="439F8430">
      <w:pPr>
        <w:rPr>
          <w:rFonts w:ascii="楷体_GB2312" w:hAnsi="楷体_GB2312" w:eastAsia="楷体_GB2312" w:cs="楷体_GB2312"/>
          <w:sz w:val="32"/>
          <w:szCs w:val="32"/>
        </w:rPr>
      </w:pPr>
    </w:p>
    <w:p w14:paraId="0074A807">
      <w:pPr>
        <w:rPr>
          <w:rFonts w:ascii="楷体_GB2312" w:hAnsi="楷体_GB2312" w:eastAsia="楷体_GB2312" w:cs="楷体_GB2312"/>
          <w:sz w:val="32"/>
          <w:szCs w:val="32"/>
        </w:rPr>
      </w:pPr>
    </w:p>
    <w:p w14:paraId="42B59927">
      <w:pPr>
        <w:rPr>
          <w:rFonts w:ascii="楷体_GB2312" w:hAnsi="楷体_GB2312" w:eastAsia="楷体_GB2312" w:cs="楷体_GB2312"/>
          <w:sz w:val="32"/>
          <w:szCs w:val="32"/>
        </w:rPr>
      </w:pPr>
    </w:p>
    <w:p w14:paraId="27CC6537">
      <w:pPr>
        <w:rPr>
          <w:rFonts w:ascii="楷体_GB2312" w:hAnsi="楷体_GB2312" w:eastAsia="楷体_GB2312" w:cs="楷体_GB2312"/>
          <w:sz w:val="32"/>
          <w:szCs w:val="32"/>
        </w:rPr>
      </w:pPr>
    </w:p>
    <w:p w14:paraId="68FAC364">
      <w:pPr>
        <w:rPr>
          <w:rFonts w:ascii="楷体_GB2312" w:hAnsi="楷体_GB2312" w:eastAsia="楷体_GB2312" w:cs="楷体_GB2312"/>
          <w:sz w:val="32"/>
          <w:szCs w:val="32"/>
        </w:rPr>
      </w:pPr>
    </w:p>
    <w:p w14:paraId="759259F6">
      <w:pPr>
        <w:rPr>
          <w:rFonts w:ascii="楷体_GB2312" w:hAnsi="楷体_GB2312" w:eastAsia="楷体_GB2312" w:cs="楷体_GB2312"/>
          <w:sz w:val="32"/>
          <w:szCs w:val="32"/>
        </w:rPr>
      </w:pPr>
    </w:p>
    <w:p w14:paraId="76383B83">
      <w:pPr>
        <w:rPr>
          <w:rFonts w:ascii="楷体_GB2312" w:hAnsi="楷体_GB2312" w:eastAsia="楷体_GB2312" w:cs="楷体_GB2312"/>
          <w:sz w:val="32"/>
          <w:szCs w:val="32"/>
        </w:rPr>
      </w:pPr>
    </w:p>
    <w:p w14:paraId="3B01478C">
      <w:pPr>
        <w:rPr>
          <w:rFonts w:ascii="楷体_GB2312" w:hAnsi="楷体_GB2312" w:eastAsia="楷体_GB2312" w:cs="楷体_GB2312"/>
          <w:sz w:val="32"/>
          <w:szCs w:val="32"/>
        </w:rPr>
      </w:pPr>
    </w:p>
    <w:p w14:paraId="5D2D2A46">
      <w:pPr>
        <w:rPr>
          <w:rFonts w:ascii="楷体_GB2312" w:hAnsi="楷体_GB2312" w:eastAsia="楷体_GB2312" w:cs="楷体_GB2312"/>
          <w:sz w:val="32"/>
          <w:szCs w:val="32"/>
        </w:rPr>
      </w:pPr>
    </w:p>
    <w:p w14:paraId="1EC653DA">
      <w:pPr>
        <w:rPr>
          <w:rFonts w:ascii="楷体_GB2312" w:hAnsi="楷体_GB2312" w:eastAsia="楷体_GB2312" w:cs="楷体_GB2312"/>
          <w:sz w:val="32"/>
          <w:szCs w:val="32"/>
        </w:rPr>
      </w:pPr>
    </w:p>
    <w:p w14:paraId="5670151E">
      <w:pPr>
        <w:rPr>
          <w:rFonts w:ascii="楷体_GB2312" w:hAnsi="楷体_GB2312" w:eastAsia="楷体_GB2312" w:cs="楷体_GB2312"/>
          <w:sz w:val="32"/>
          <w:szCs w:val="32"/>
        </w:rPr>
      </w:pPr>
    </w:p>
    <w:p w14:paraId="688A57F4">
      <w:pPr>
        <w:rPr>
          <w:rFonts w:ascii="楷体_GB2312" w:hAnsi="楷体_GB2312" w:eastAsia="楷体_GB2312" w:cs="楷体_GB2312"/>
          <w:sz w:val="32"/>
          <w:szCs w:val="32"/>
        </w:rPr>
      </w:pPr>
    </w:p>
    <w:p w14:paraId="03AAFA79">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提案编号:057</w:t>
      </w:r>
    </w:p>
    <w:p w14:paraId="1F2ED3BF">
      <w:pPr>
        <w:pStyle w:val="18"/>
        <w:ind w:firstLine="0" w:firstLineChars="0"/>
        <w:rPr>
          <w:rFonts w:ascii="楷体_GB2312" w:hAnsi="Times New Roman" w:eastAsia="楷体_GB2312" w:cs="Times New Roman"/>
        </w:rPr>
      </w:pPr>
      <w:r>
        <w:rPr>
          <w:rFonts w:hint="eastAsia" w:ascii="楷体_GB2312" w:hAnsi="楷体_GB2312" w:eastAsia="楷体_GB2312" w:cs="楷体_GB2312"/>
        </w:rPr>
        <w:t>提案名称:</w:t>
      </w:r>
      <w:r>
        <w:rPr>
          <w:rFonts w:hint="eastAsia" w:ascii="楷体_GB2312" w:hAnsi="Times New Roman" w:eastAsia="楷体_GB2312" w:cs="Times New Roman"/>
        </w:rPr>
        <w:t>关于提高小区改造质效、提升居民幸福指数</w:t>
      </w:r>
    </w:p>
    <w:p w14:paraId="20A573B5">
      <w:pPr>
        <w:spacing w:line="560" w:lineRule="exact"/>
        <w:rPr>
          <w:rFonts w:ascii="楷体_GB2312" w:hAnsi="仿宋" w:eastAsia="楷体_GB2312" w:cs="Times New Roman"/>
          <w:sz w:val="32"/>
          <w:szCs w:val="32"/>
        </w:rPr>
      </w:pPr>
      <w:r>
        <w:rPr>
          <w:rFonts w:hint="eastAsia" w:ascii="楷体_GB2312" w:hAnsi="Times New Roman" w:eastAsia="楷体_GB2312" w:cs="Times New Roman"/>
          <w:sz w:val="32"/>
          <w:szCs w:val="32"/>
        </w:rPr>
        <w:t xml:space="preserve">         </w:t>
      </w:r>
      <w:r>
        <w:rPr>
          <w:rFonts w:hint="eastAsia" w:ascii="楷体_GB2312" w:hAnsi="方正小标宋简体" w:eastAsia="楷体_GB2312" w:cs="方正小标宋简体"/>
          <w:sz w:val="32"/>
          <w:szCs w:val="32"/>
        </w:rPr>
        <w:t>的提案</w:t>
      </w:r>
    </w:p>
    <w:p w14:paraId="46010C17">
      <w:pPr>
        <w:spacing w:line="560" w:lineRule="exact"/>
        <w:rPr>
          <w:rFonts w:ascii="仿宋" w:hAnsi="仿宋" w:eastAsia="仿宋" w:cs="Times New Roman"/>
          <w:sz w:val="32"/>
          <w:szCs w:val="32"/>
        </w:rPr>
      </w:pPr>
      <w:r>
        <w:rPr>
          <w:rFonts w:hint="eastAsia" w:ascii="楷体_GB2312" w:hAnsi="楷体_GB2312" w:eastAsia="楷体_GB2312" w:cs="楷体_GB2312"/>
          <w:sz w:val="32"/>
          <w:szCs w:val="32"/>
        </w:rPr>
        <w:t>提 案 人: 窦小会</w:t>
      </w:r>
    </w:p>
    <w:p w14:paraId="57704F97">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联系方式：18648159333</w:t>
      </w:r>
    </w:p>
    <w:p w14:paraId="5FAEEB3B">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别:工商业联合会</w:t>
      </w:r>
    </w:p>
    <w:p w14:paraId="6AFE9D25">
      <w:pPr>
        <w:pStyle w:val="18"/>
        <w:ind w:firstLine="0" w:firstLineChars="0"/>
        <w:jc w:val="center"/>
        <w:rPr>
          <w:rFonts w:ascii="楷体_GB2312" w:hAnsi="Times New Roman" w:eastAsia="楷体_GB2312" w:cs="Times New Roman"/>
        </w:rPr>
      </w:pPr>
      <w:r>
        <w:rPr>
          <w:rFonts w:hint="eastAsia" w:ascii="Times New Roman" w:hAnsi="Times New Roman" w:eastAsia="方正小标宋简体" w:cs="Times New Roman"/>
          <w:sz w:val="44"/>
          <w:szCs w:val="44"/>
        </w:rPr>
        <w:t>关于提高</w:t>
      </w:r>
      <w:r>
        <w:rPr>
          <w:rFonts w:ascii="Times New Roman" w:hAnsi="Times New Roman" w:eastAsia="方正小标宋简体" w:cs="Times New Roman"/>
          <w:sz w:val="44"/>
          <w:szCs w:val="44"/>
        </w:rPr>
        <w:t>小区改造</w:t>
      </w:r>
      <w:r>
        <w:rPr>
          <w:rFonts w:hint="eastAsia" w:ascii="Times New Roman" w:hAnsi="Times New Roman" w:eastAsia="方正小标宋简体" w:cs="Times New Roman"/>
          <w:sz w:val="44"/>
          <w:szCs w:val="44"/>
        </w:rPr>
        <w:t>质效、提升居民幸福指数</w:t>
      </w:r>
      <w:r>
        <w:rPr>
          <w:rFonts w:hint="eastAsia" w:ascii="方正小标宋简体" w:hAnsi="方正小标宋简体" w:eastAsia="方正小标宋简体" w:cs="方正小标宋简体"/>
          <w:sz w:val="44"/>
          <w:szCs w:val="44"/>
        </w:rPr>
        <w:t>的提案</w:t>
      </w:r>
    </w:p>
    <w:p w14:paraId="77B2BE8E">
      <w:pPr>
        <w:spacing w:line="560" w:lineRule="exact"/>
        <w:rPr>
          <w:rFonts w:ascii="仿宋" w:hAnsi="仿宋" w:eastAsia="仿宋" w:cs="Times New Roman"/>
          <w:sz w:val="32"/>
          <w:szCs w:val="32"/>
        </w:rPr>
      </w:pPr>
      <w:r>
        <w:rPr>
          <w:rFonts w:hint="eastAsia" w:ascii="仿宋" w:hAnsi="仿宋" w:eastAsia="仿宋" w:cs="Times New Roman"/>
          <w:sz w:val="32"/>
          <w:szCs w:val="32"/>
        </w:rPr>
        <w:t xml:space="preserve">             </w:t>
      </w:r>
    </w:p>
    <w:p w14:paraId="25A278E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住”是衡量城镇居民幸福指数四项指标中最重要的一项，关乎群众的居住体验和生活环境，是城镇居民最看重和在乎的幸福指标。对老旧小区的改造和升级，既是民众关切的重点对象，也是民生工程的重要组成。近几年来，旗委、政府持续关注和改善民生，加大老旧小区改造的力度和步伐，老旧小区改造步入了快车道。</w:t>
      </w:r>
    </w:p>
    <w:p w14:paraId="0A92C39D">
      <w:pPr>
        <w:numPr>
          <w:ilvl w:val="0"/>
          <w:numId w:val="16"/>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全旗城镇住宅小区情况</w:t>
      </w:r>
    </w:p>
    <w:p w14:paraId="44FFFFD2">
      <w:pPr>
        <w:spacing w:line="560" w:lineRule="exact"/>
        <w:ind w:firstLine="640" w:firstLineChars="200"/>
        <w:rPr>
          <w:rFonts w:ascii="Times New Roman" w:hAnsi="Times New Roman" w:eastAsia="仿宋" w:cs="Times New Roman"/>
          <w:sz w:val="32"/>
          <w:szCs w:val="32"/>
        </w:rPr>
      </w:pPr>
      <w:r>
        <w:rPr>
          <w:rFonts w:hint="eastAsia" w:ascii="仿宋_GB2312" w:hAnsi="仿宋_GB2312" w:eastAsia="仿宋_GB2312" w:cs="仿宋_GB2312"/>
          <w:sz w:val="32"/>
          <w:szCs w:val="32"/>
        </w:rPr>
        <w:t>全旗共有住宅小区173个，其中锦山城区128个、和美园区21个、美林镇2个、牛家营子镇 3个、乃林镇19个，总面积528.9万平方米。其中：建成年代达到20年以上，进入老旧小区改造范畴的老旧小区（2005年及以前建成）共77个、148栋、5833户、62.72万平方米。</w:t>
      </w:r>
    </w:p>
    <w:p w14:paraId="2030C2B6">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二</w:t>
      </w:r>
      <w:r>
        <w:rPr>
          <w:rFonts w:ascii="黑体" w:hAnsi="黑体" w:eastAsia="黑体" w:cs="Times New Roman"/>
          <w:sz w:val="32"/>
          <w:szCs w:val="32"/>
        </w:rPr>
        <w:t>、</w:t>
      </w:r>
      <w:r>
        <w:rPr>
          <w:rFonts w:hint="eastAsia" w:ascii="黑体" w:hAnsi="黑体" w:eastAsia="黑体" w:cs="Times New Roman"/>
          <w:sz w:val="32"/>
          <w:szCs w:val="32"/>
        </w:rPr>
        <w:t>全旗</w:t>
      </w:r>
      <w:r>
        <w:rPr>
          <w:rFonts w:ascii="黑体" w:hAnsi="黑体" w:eastAsia="黑体" w:cs="Times New Roman"/>
          <w:sz w:val="32"/>
          <w:szCs w:val="32"/>
        </w:rPr>
        <w:t>老旧小区改造情况</w:t>
      </w:r>
    </w:p>
    <w:p w14:paraId="5AB2453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随着楼龄增长，锦山主城区老旧小区逐渐增多，影响小区环境和居住体验的老破旧、脏乱差现象日益凸显，一定程度上影响着整体环境和城市品质的提高。自2021年起，旗委、政府按照国务院、自治区和赤峰市关于加强老旧小区改造工作的要求，在锦山中心城区，开始有序推进老旧小区改造升级工作。目前，已完成67个小区、112栋楼、4273户、45.85万平老旧小区改造升级工作，改造内容主要是对配套基础设施和既有建筑进行节能改造。小区改造后基础设施、居住体验、整体环境、出行条件得到明显改善，备受群众关注的环境、取暖等问题得以彻底解决。居民的幸福感、获得感显著提升。</w:t>
      </w:r>
    </w:p>
    <w:p w14:paraId="0B4CFBE8">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三</w:t>
      </w:r>
      <w:r>
        <w:rPr>
          <w:rFonts w:ascii="黑体" w:hAnsi="黑体" w:eastAsia="黑体" w:cs="Times New Roman"/>
          <w:sz w:val="32"/>
          <w:szCs w:val="32"/>
        </w:rPr>
        <w:t>、老旧小区改造</w:t>
      </w:r>
      <w:r>
        <w:rPr>
          <w:rFonts w:hint="eastAsia" w:ascii="黑体" w:hAnsi="黑体" w:eastAsia="黑体" w:cs="Times New Roman"/>
          <w:sz w:val="32"/>
          <w:szCs w:val="32"/>
        </w:rPr>
        <w:t>中的</w:t>
      </w:r>
      <w:r>
        <w:rPr>
          <w:rFonts w:ascii="黑体" w:hAnsi="黑体" w:eastAsia="黑体" w:cs="Times New Roman"/>
          <w:sz w:val="32"/>
          <w:szCs w:val="32"/>
        </w:rPr>
        <w:t>问题</w:t>
      </w:r>
    </w:p>
    <w:p w14:paraId="5CA55C92">
      <w:pPr>
        <w:spacing w:line="560" w:lineRule="exact"/>
        <w:ind w:firstLine="643" w:firstLineChars="200"/>
        <w:rPr>
          <w:rFonts w:ascii="仿宋_GB2312" w:hAnsi="仿宋_GB2312" w:eastAsia="仿宋_GB2312" w:cs="仿宋_GB2312"/>
          <w:sz w:val="32"/>
          <w:szCs w:val="32"/>
        </w:rPr>
      </w:pPr>
      <w:r>
        <w:rPr>
          <w:rFonts w:hint="eastAsia" w:ascii="仿宋_GB2312" w:hAnsi="楷体" w:eastAsia="仿宋_GB2312" w:cs="Times New Roman"/>
          <w:b/>
          <w:sz w:val="32"/>
          <w:szCs w:val="32"/>
        </w:rPr>
        <w:t>一是</w:t>
      </w:r>
      <w:r>
        <w:rPr>
          <w:rFonts w:hint="eastAsia" w:ascii="仿宋_GB2312" w:hAnsi="楷体" w:eastAsia="仿宋_GB2312" w:cs="Times New Roman"/>
          <w:sz w:val="32"/>
          <w:szCs w:val="32"/>
        </w:rPr>
        <w:t>改造进度慢。</w:t>
      </w:r>
      <w:r>
        <w:rPr>
          <w:rFonts w:hint="eastAsia" w:ascii="仿宋_GB2312" w:hAnsi="仿宋_GB2312" w:eastAsia="仿宋_GB2312" w:cs="仿宋_GB2312"/>
          <w:sz w:val="32"/>
          <w:szCs w:val="32"/>
        </w:rPr>
        <w:t>受改造资金缺口较大、争取资金流程复杂、相关手续办理繁琐等因素的制约和影响，导致资金跟进不足，影响了小区改造整体推进的步伐和效率。同时，对建筑商的把关和监管也是影响进度和质量的因素之一。</w:t>
      </w:r>
    </w:p>
    <w:p w14:paraId="71DE24E2">
      <w:pPr>
        <w:spacing w:line="560" w:lineRule="exact"/>
        <w:ind w:firstLine="643" w:firstLineChars="200"/>
        <w:rPr>
          <w:rFonts w:ascii="仿宋_GB2312" w:hAnsi="仿宋_GB2312" w:eastAsia="仿宋_GB2312" w:cs="仿宋_GB2312"/>
          <w:sz w:val="32"/>
          <w:szCs w:val="32"/>
        </w:rPr>
      </w:pPr>
      <w:r>
        <w:rPr>
          <w:rFonts w:hint="eastAsia" w:ascii="仿宋_GB2312" w:hAnsi="楷体" w:eastAsia="仿宋_GB2312" w:cs="Times New Roman"/>
          <w:b/>
          <w:sz w:val="32"/>
          <w:szCs w:val="32"/>
        </w:rPr>
        <w:t>二是</w:t>
      </w:r>
      <w:r>
        <w:rPr>
          <w:rFonts w:hint="eastAsia" w:ascii="仿宋_GB2312" w:hAnsi="楷体" w:eastAsia="仿宋_GB2312" w:cs="Times New Roman"/>
          <w:sz w:val="32"/>
          <w:szCs w:val="32"/>
        </w:rPr>
        <w:t>飞线清理难。</w:t>
      </w:r>
      <w:r>
        <w:rPr>
          <w:rFonts w:hint="eastAsia" w:ascii="仿宋_GB2312" w:hAnsi="仿宋_GB2312" w:eastAsia="仿宋_GB2312" w:cs="仿宋_GB2312"/>
          <w:sz w:val="32"/>
          <w:szCs w:val="32"/>
        </w:rPr>
        <w:t>“飞线”既是消防隐患风险点，又是影响小区环境的“图斑”。小区强弱电架空线涉及农电、移动、联通、电信、有线电视等多个部门，协调难度大、改造成本高，成为老旧小区改造中的一大难题。</w:t>
      </w:r>
    </w:p>
    <w:p w14:paraId="0969BAE0">
      <w:pPr>
        <w:spacing w:line="560" w:lineRule="exact"/>
        <w:ind w:firstLine="643" w:firstLineChars="200"/>
        <w:rPr>
          <w:rFonts w:ascii="仿宋_GB2312" w:hAnsi="仿宋_GB2312" w:eastAsia="仿宋_GB2312" w:cs="仿宋_GB2312"/>
          <w:sz w:val="32"/>
          <w:szCs w:val="32"/>
        </w:rPr>
      </w:pPr>
      <w:r>
        <w:rPr>
          <w:rFonts w:hint="eastAsia" w:ascii="仿宋_GB2312" w:hAnsi="楷体" w:eastAsia="仿宋_GB2312" w:cs="Times New Roman"/>
          <w:b/>
          <w:sz w:val="32"/>
          <w:szCs w:val="32"/>
        </w:rPr>
        <w:t>三是</w:t>
      </w:r>
      <w:r>
        <w:rPr>
          <w:rFonts w:hint="eastAsia" w:ascii="仿宋_GB2312" w:hAnsi="楷体" w:eastAsia="仿宋_GB2312" w:cs="Times New Roman"/>
          <w:sz w:val="32"/>
          <w:szCs w:val="32"/>
        </w:rPr>
        <w:t>物业难度大。</w:t>
      </w:r>
      <w:r>
        <w:rPr>
          <w:rFonts w:hint="eastAsia" w:ascii="仿宋_GB2312" w:hAnsi="仿宋_GB2312" w:eastAsia="仿宋_GB2312" w:cs="仿宋_GB2312"/>
          <w:sz w:val="32"/>
          <w:szCs w:val="32"/>
        </w:rPr>
        <w:t>老旧小区居民构成复杂，基础设施条件较差，存在与物业管理模式不匹配、不协调等多种不利因素。同时老旧小区居民中的弱势群体，家庭收入普遍偏低，不愿接受有偿物业服务，管理难、收费低、沟通难、不好做等问题造成了物业不愿进驻，难以维持长久等实际问题。</w:t>
      </w:r>
    </w:p>
    <w:p w14:paraId="7FE91A72">
      <w:pPr>
        <w:spacing w:line="560" w:lineRule="exact"/>
        <w:ind w:firstLine="643" w:firstLineChars="200"/>
        <w:rPr>
          <w:rFonts w:ascii="仿宋_GB2312" w:hAnsi="仿宋_GB2312" w:eastAsia="仿宋_GB2312" w:cs="仿宋_GB2312"/>
          <w:sz w:val="32"/>
          <w:szCs w:val="32"/>
        </w:rPr>
      </w:pPr>
      <w:r>
        <w:rPr>
          <w:rFonts w:hint="eastAsia" w:ascii="仿宋_GB2312" w:hAnsi="楷体" w:eastAsia="仿宋_GB2312" w:cs="Times New Roman"/>
          <w:b/>
          <w:sz w:val="32"/>
          <w:szCs w:val="32"/>
        </w:rPr>
        <w:t>四是</w:t>
      </w:r>
      <w:r>
        <w:rPr>
          <w:rFonts w:hint="eastAsia" w:ascii="仿宋_GB2312" w:hAnsi="楷体" w:eastAsia="仿宋_GB2312" w:cs="Times New Roman"/>
          <w:sz w:val="32"/>
          <w:szCs w:val="32"/>
        </w:rPr>
        <w:t>违建不易拆。</w:t>
      </w:r>
      <w:r>
        <w:rPr>
          <w:rFonts w:hint="eastAsia" w:ascii="仿宋_GB2312" w:hAnsi="仿宋_GB2312" w:eastAsia="仿宋_GB2312" w:cs="仿宋_GB2312"/>
          <w:sz w:val="32"/>
          <w:szCs w:val="32"/>
        </w:rPr>
        <w:t>部分老旧小区存在私搭乱建问题，而且部分违建建成年代久远，拆除工作难度很大，影响了小区改造的效果和质量。</w:t>
      </w:r>
    </w:p>
    <w:p w14:paraId="7598FB6A">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四</w:t>
      </w:r>
      <w:r>
        <w:rPr>
          <w:rFonts w:ascii="黑体" w:hAnsi="黑体" w:eastAsia="黑体" w:cs="Times New Roman"/>
          <w:sz w:val="32"/>
          <w:szCs w:val="32"/>
        </w:rPr>
        <w:t>、</w:t>
      </w:r>
      <w:r>
        <w:rPr>
          <w:rFonts w:hint="eastAsia" w:ascii="黑体" w:hAnsi="黑体" w:eastAsia="黑体" w:cs="Times New Roman"/>
          <w:sz w:val="32"/>
          <w:szCs w:val="32"/>
        </w:rPr>
        <w:t>对</w:t>
      </w:r>
      <w:r>
        <w:rPr>
          <w:rFonts w:ascii="黑体" w:hAnsi="黑体" w:eastAsia="黑体" w:cs="Times New Roman"/>
          <w:sz w:val="32"/>
          <w:szCs w:val="32"/>
        </w:rPr>
        <w:t>老旧小区改造的</w:t>
      </w:r>
      <w:r>
        <w:rPr>
          <w:rFonts w:hint="eastAsia" w:ascii="黑体" w:hAnsi="黑体" w:eastAsia="黑体" w:cs="Times New Roman"/>
          <w:sz w:val="32"/>
          <w:szCs w:val="32"/>
        </w:rPr>
        <w:t>几点</w:t>
      </w:r>
      <w:r>
        <w:rPr>
          <w:rFonts w:ascii="黑体" w:hAnsi="黑体" w:eastAsia="黑体" w:cs="Times New Roman"/>
          <w:sz w:val="32"/>
          <w:szCs w:val="32"/>
        </w:rPr>
        <w:t>建议</w:t>
      </w:r>
    </w:p>
    <w:p w14:paraId="67A6562C">
      <w:pPr>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Times New Roman"/>
          <w:sz w:val="32"/>
          <w:szCs w:val="32"/>
        </w:rPr>
        <w:t>（一）提前做好工作。</w:t>
      </w:r>
      <w:r>
        <w:rPr>
          <w:rFonts w:hint="eastAsia" w:ascii="仿宋_GB2312" w:hAnsi="仿宋_GB2312" w:eastAsia="仿宋_GB2312" w:cs="仿宋_GB2312"/>
          <w:sz w:val="32"/>
          <w:szCs w:val="32"/>
        </w:rPr>
        <w:t>以小区为单位，在制定详细的改造计划的基础上，对固定内容的改造要落实到承建商、相关部门等责任主体。实现权责分明、各负其责、齐抓共管。从以往小区改造所遇到的不同情况中吸取经验，完善方案，建立一区一策、一事一案的工作制度和机制，预案在前、工作在前，杜绝或减少未可知、未预料因素对整体工作的影响。</w:t>
      </w:r>
    </w:p>
    <w:p w14:paraId="16E67427">
      <w:pPr>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Times New Roman"/>
          <w:sz w:val="32"/>
          <w:szCs w:val="32"/>
        </w:rPr>
        <w:t>（二）有序有力推进。</w:t>
      </w:r>
      <w:r>
        <w:rPr>
          <w:rFonts w:hint="eastAsia" w:ascii="仿宋_GB2312" w:hAnsi="仿宋_GB2312" w:eastAsia="仿宋_GB2312" w:cs="仿宋_GB2312"/>
          <w:sz w:val="32"/>
          <w:szCs w:val="32"/>
        </w:rPr>
        <w:t>加快入户调研、规划设计、施工许可、办理申报、资金筹措等前期工作，确保施工进场后，工程进度和质量不受除不可抗力因素影响外的其他因素影响，有序有力推进。</w:t>
      </w:r>
    </w:p>
    <w:p w14:paraId="0986B92B">
      <w:pPr>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Times New Roman"/>
          <w:sz w:val="32"/>
          <w:szCs w:val="32"/>
        </w:rPr>
        <w:t>（三）加强沟通协调。</w:t>
      </w:r>
      <w:r>
        <w:rPr>
          <w:rFonts w:hint="eastAsia" w:ascii="仿宋_GB2312" w:hAnsi="仿宋_GB2312" w:eastAsia="仿宋_GB2312" w:cs="仿宋_GB2312"/>
          <w:sz w:val="32"/>
          <w:szCs w:val="32"/>
        </w:rPr>
        <w:t>工程建设管理部门要加强与建设、房管、电力、通讯、燃气、消防等部门、单位的沟通，密切配合改造升级工作。在违建拆除、飞线治理、物业管理等方面积极配合；积极回应契合群众在公共卫生、小区停车、文体健身等方面的需求，合理规划区域、完善基础设施、配套活动设施，全面提升小区品质，让群众安心舒心。</w:t>
      </w:r>
    </w:p>
    <w:p w14:paraId="65C2617B">
      <w:pPr>
        <w:spacing w:line="560" w:lineRule="exact"/>
        <w:ind w:firstLine="640" w:firstLineChars="200"/>
        <w:rPr>
          <w:rFonts w:ascii="Times New Roman" w:hAnsi="Times New Roman" w:eastAsia="仿宋" w:cs="Times New Roman"/>
          <w:sz w:val="32"/>
          <w:szCs w:val="32"/>
        </w:rPr>
      </w:pPr>
      <w:r>
        <w:rPr>
          <w:rFonts w:hint="eastAsia" w:ascii="楷体_GB2312" w:hAnsi="楷体" w:eastAsia="楷体_GB2312" w:cs="Times New Roman"/>
          <w:sz w:val="32"/>
          <w:szCs w:val="32"/>
        </w:rPr>
        <w:t>（四）严塑监管机制。</w:t>
      </w:r>
      <w:r>
        <w:rPr>
          <w:rFonts w:hint="eastAsia" w:ascii="仿宋_GB2312" w:hAnsi="仿宋_GB2312" w:eastAsia="仿宋_GB2312" w:cs="仿宋_GB2312"/>
          <w:sz w:val="32"/>
          <w:szCs w:val="32"/>
        </w:rPr>
        <w:t>维护是改造的延续和重点，而物业对小区的维护至关重要。住建、房管、应急、消防、街道（社区）等部门联合小区业主委员会，采取引入竞争机制、建设文明小区、评选优秀物业、建立考评机制、实行末位淘汰等制度加强对物业的管理和监督，对服务质量不达标、隐匿弱化服务项目、不惟服务惟利益的物业公司要坚决不用或清退。</w:t>
      </w:r>
    </w:p>
    <w:p w14:paraId="42D79061">
      <w:pPr>
        <w:spacing w:line="560" w:lineRule="exact"/>
        <w:ind w:firstLine="640" w:firstLineChars="200"/>
        <w:rPr>
          <w:rFonts w:ascii="仿宋_GB2312" w:hAnsi="仿宋_GB2312" w:eastAsia="仿宋_GB2312" w:cs="仿宋_GB2312"/>
          <w:sz w:val="32"/>
          <w:szCs w:val="32"/>
        </w:rPr>
      </w:pPr>
      <w:r>
        <w:rPr>
          <w:rFonts w:hint="eastAsia" w:ascii="楷体_GB2312" w:hAnsi="楷体" w:eastAsia="楷体_GB2312" w:cs="Times New Roman"/>
          <w:sz w:val="32"/>
          <w:szCs w:val="32"/>
        </w:rPr>
        <w:t>（五）共建文明家园。</w:t>
      </w:r>
      <w:r>
        <w:rPr>
          <w:rFonts w:hint="eastAsia" w:ascii="仿宋_GB2312" w:hAnsi="仿宋_GB2312" w:eastAsia="仿宋_GB2312" w:cs="仿宋_GB2312"/>
          <w:b/>
          <w:sz w:val="32"/>
          <w:szCs w:val="32"/>
        </w:rPr>
        <w:t>一是调动群众积极性</w:t>
      </w:r>
      <w:r>
        <w:rPr>
          <w:rFonts w:hint="eastAsia" w:ascii="仿宋_GB2312" w:hAnsi="仿宋_GB2312" w:eastAsia="仿宋_GB2312" w:cs="仿宋_GB2312"/>
          <w:sz w:val="32"/>
          <w:szCs w:val="32"/>
        </w:rPr>
        <w:t>：采取张贴公告、微信群、入户走访等方式加强与群众的沟通和协调，充分把握向善向美、服务暖心的服务准则，把群众配合变为自主行动，全面激发居民的主人翁责任感；</w:t>
      </w:r>
      <w:r>
        <w:rPr>
          <w:rFonts w:hint="eastAsia" w:ascii="仿宋_GB2312" w:hAnsi="仿宋_GB2312" w:eastAsia="仿宋_GB2312" w:cs="仿宋_GB2312"/>
          <w:b/>
          <w:sz w:val="32"/>
          <w:szCs w:val="32"/>
        </w:rPr>
        <w:t>二是提高服务质量</w:t>
      </w:r>
      <w:r>
        <w:rPr>
          <w:rFonts w:hint="eastAsia" w:ascii="仿宋_GB2312" w:hAnsi="仿宋_GB2312" w:eastAsia="仿宋_GB2312" w:cs="仿宋_GB2312"/>
          <w:sz w:val="32"/>
          <w:szCs w:val="32"/>
        </w:rPr>
        <w:t>：物业管理和服务要切实从居民需求着手，完善服务设施、提高服务水平、回应居民关切，实行楼栋有专人负责、单元有专人服务，环境有专人管理、需求有专人回复，着力形成“物业公司全面管、小区居民配合抓、优美环境同心护、文明家园共同享”的良性互动局面，珍惜“旧貌新颜”的幸福，不留“得而复失”的遗憾。</w:t>
      </w:r>
    </w:p>
    <w:p w14:paraId="2B5171D3">
      <w:pPr>
        <w:rPr>
          <w:rFonts w:ascii="楷体_GB2312" w:hAnsi="楷体_GB2312" w:eastAsia="楷体_GB2312" w:cs="楷体_GB2312"/>
          <w:sz w:val="32"/>
          <w:szCs w:val="32"/>
        </w:rPr>
      </w:pPr>
    </w:p>
    <w:p w14:paraId="1C676F98">
      <w:pPr>
        <w:rPr>
          <w:rFonts w:ascii="楷体_GB2312" w:hAnsi="楷体_GB2312" w:eastAsia="楷体_GB2312" w:cs="楷体_GB2312"/>
          <w:sz w:val="32"/>
          <w:szCs w:val="32"/>
        </w:rPr>
      </w:pPr>
    </w:p>
    <w:p w14:paraId="7A4C8C95">
      <w:pPr>
        <w:rPr>
          <w:rFonts w:ascii="楷体_GB2312" w:hAnsi="楷体_GB2312" w:eastAsia="楷体_GB2312" w:cs="楷体_GB2312"/>
          <w:sz w:val="32"/>
          <w:szCs w:val="32"/>
        </w:rPr>
      </w:pPr>
    </w:p>
    <w:p w14:paraId="51E1A850">
      <w:pPr>
        <w:rPr>
          <w:rFonts w:ascii="楷体_GB2312" w:hAnsi="楷体_GB2312" w:eastAsia="楷体_GB2312" w:cs="楷体_GB2312"/>
          <w:sz w:val="32"/>
          <w:szCs w:val="32"/>
        </w:rPr>
      </w:pPr>
    </w:p>
    <w:p w14:paraId="015BEB8C">
      <w:pPr>
        <w:rPr>
          <w:rFonts w:ascii="楷体_GB2312" w:hAnsi="楷体_GB2312" w:eastAsia="楷体_GB2312" w:cs="楷体_GB2312"/>
          <w:sz w:val="32"/>
          <w:szCs w:val="32"/>
        </w:rPr>
      </w:pPr>
    </w:p>
    <w:p w14:paraId="2C5370E3">
      <w:pPr>
        <w:rPr>
          <w:rFonts w:ascii="楷体_GB2312" w:hAnsi="楷体_GB2312" w:eastAsia="楷体_GB2312" w:cs="楷体_GB2312"/>
          <w:sz w:val="32"/>
          <w:szCs w:val="32"/>
        </w:rPr>
      </w:pPr>
    </w:p>
    <w:p w14:paraId="7E16954E">
      <w:pPr>
        <w:rPr>
          <w:rFonts w:ascii="楷体_GB2312" w:hAnsi="楷体_GB2312" w:eastAsia="楷体_GB2312" w:cs="楷体_GB2312"/>
          <w:sz w:val="32"/>
          <w:szCs w:val="32"/>
        </w:rPr>
      </w:pPr>
    </w:p>
    <w:p w14:paraId="32FA82D8">
      <w:pPr>
        <w:rPr>
          <w:rFonts w:ascii="楷体_GB2312" w:hAnsi="楷体_GB2312" w:eastAsia="楷体_GB2312" w:cs="楷体_GB2312"/>
          <w:sz w:val="32"/>
          <w:szCs w:val="32"/>
        </w:rPr>
      </w:pPr>
    </w:p>
    <w:p w14:paraId="0EF94AC2">
      <w:pPr>
        <w:rPr>
          <w:rFonts w:ascii="楷体_GB2312" w:hAnsi="楷体_GB2312" w:eastAsia="楷体_GB2312" w:cs="楷体_GB2312"/>
          <w:sz w:val="32"/>
          <w:szCs w:val="32"/>
        </w:rPr>
      </w:pPr>
    </w:p>
    <w:p w14:paraId="31B8A4D0">
      <w:pPr>
        <w:rPr>
          <w:rFonts w:ascii="楷体_GB2312" w:hAnsi="楷体_GB2312" w:eastAsia="楷体_GB2312" w:cs="楷体_GB2312"/>
          <w:sz w:val="32"/>
          <w:szCs w:val="32"/>
        </w:rPr>
      </w:pPr>
    </w:p>
    <w:p w14:paraId="7F9DD6C8">
      <w:pPr>
        <w:rPr>
          <w:rFonts w:ascii="楷体_GB2312" w:hAnsi="楷体_GB2312" w:eastAsia="楷体_GB2312" w:cs="楷体_GB2312"/>
          <w:sz w:val="32"/>
          <w:szCs w:val="32"/>
        </w:rPr>
      </w:pPr>
    </w:p>
    <w:p w14:paraId="4A911581">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提案编号:058</w:t>
      </w:r>
    </w:p>
    <w:p w14:paraId="1E6DD5CE">
      <w:pPr>
        <w:spacing w:line="560" w:lineRule="exact"/>
        <w:jc w:val="left"/>
        <w:rPr>
          <w:rFonts w:ascii="楷体_GB2312" w:eastAsia="楷体_GB2312"/>
          <w:sz w:val="32"/>
          <w:szCs w:val="32"/>
        </w:rPr>
      </w:pPr>
      <w:r>
        <w:rPr>
          <w:rFonts w:hint="eastAsia" w:ascii="楷体_GB2312" w:hAnsi="楷体_GB2312" w:eastAsia="楷体_GB2312" w:cs="楷体_GB2312"/>
          <w:sz w:val="32"/>
          <w:szCs w:val="32"/>
        </w:rPr>
        <w:t>提案名称:</w:t>
      </w:r>
      <w:r>
        <w:rPr>
          <w:rFonts w:hint="eastAsia" w:ascii="楷体_GB2312" w:eastAsia="楷体_GB2312"/>
          <w:sz w:val="32"/>
          <w:szCs w:val="32"/>
        </w:rPr>
        <w:t>关于推动新时代背景下新职业青年社会参与的提</w:t>
      </w:r>
    </w:p>
    <w:p w14:paraId="40D46EF5">
      <w:pPr>
        <w:spacing w:line="560" w:lineRule="exact"/>
        <w:ind w:firstLine="1600" w:firstLineChars="500"/>
        <w:jc w:val="left"/>
        <w:rPr>
          <w:rFonts w:ascii="楷体_GB2312" w:eastAsia="楷体_GB2312"/>
          <w:snapToGrid w:val="0"/>
          <w:sz w:val="32"/>
          <w:szCs w:val="32"/>
        </w:rPr>
      </w:pPr>
      <w:r>
        <w:rPr>
          <w:rFonts w:hint="eastAsia" w:ascii="楷体_GB2312" w:eastAsia="楷体_GB2312"/>
          <w:sz w:val="32"/>
          <w:szCs w:val="32"/>
        </w:rPr>
        <w:t>案</w:t>
      </w:r>
    </w:p>
    <w:p w14:paraId="0CCD7D7A">
      <w:pPr>
        <w:rPr>
          <w:rFonts w:ascii="楷体_GB2312" w:hAnsi="楷体_GB2312" w:eastAsia="楷体_GB2312" w:cs="楷体_GB2312"/>
          <w:sz w:val="32"/>
          <w:szCs w:val="32"/>
        </w:rPr>
      </w:pPr>
      <w:r>
        <w:rPr>
          <w:rFonts w:hint="eastAsia" w:ascii="楷体_GB2312" w:hAnsi="楷体_GB2312" w:eastAsia="楷体_GB2312" w:cs="楷体_GB2312"/>
          <w:sz w:val="32"/>
          <w:szCs w:val="32"/>
        </w:rPr>
        <w:t>提 案 人:胡楠</w:t>
      </w:r>
    </w:p>
    <w:p w14:paraId="58C10A7B">
      <w:pPr>
        <w:rPr>
          <w:rFonts w:ascii="楷体_GB2312" w:hAnsi="楷体_GB2312" w:eastAsia="楷体_GB2312" w:cs="楷体_GB2312"/>
          <w:sz w:val="32"/>
          <w:szCs w:val="32"/>
        </w:rPr>
      </w:pPr>
      <w:r>
        <w:rPr>
          <w:rFonts w:hint="eastAsia" w:ascii="楷体_GB2312" w:hAnsi="楷体_GB2312" w:eastAsia="楷体_GB2312" w:cs="楷体_GB2312"/>
          <w:sz w:val="32"/>
          <w:szCs w:val="32"/>
        </w:rPr>
        <w:t>联系方式：15104767985</w:t>
      </w:r>
    </w:p>
    <w:p w14:paraId="06FE9876">
      <w:pPr>
        <w:rPr>
          <w:rFonts w:ascii="楷体_GB2312" w:hAnsi="楷体_GB2312" w:eastAsia="楷体_GB2312" w:cs="楷体_GB2312"/>
          <w:sz w:val="32"/>
          <w:szCs w:val="32"/>
        </w:rPr>
      </w:pPr>
      <w:r>
        <w:rPr>
          <w:rFonts w:hint="eastAsia" w:ascii="楷体_GB2312" w:hAnsi="楷体_GB2312" w:eastAsia="楷体_GB2312" w:cs="楷体_GB2312"/>
          <w:sz w:val="32"/>
          <w:szCs w:val="32"/>
        </w:rPr>
        <w:t>界    别: 中国共产主义青年团</w:t>
      </w:r>
    </w:p>
    <w:p w14:paraId="40CCEB54">
      <w:pPr>
        <w:spacing w:line="560" w:lineRule="exact"/>
        <w:jc w:val="center"/>
        <w:rPr>
          <w:snapToGrid w:val="0"/>
        </w:rPr>
      </w:pPr>
      <w:r>
        <w:rPr>
          <w:rFonts w:hint="eastAsia" w:ascii="方正小标宋简体" w:eastAsia="方正小标宋简体"/>
          <w:sz w:val="44"/>
          <w:szCs w:val="44"/>
        </w:rPr>
        <w:t>关于推动新时代背景下新职业青年社会参与的提案</w:t>
      </w:r>
    </w:p>
    <w:p w14:paraId="65999E59">
      <w:pPr>
        <w:spacing w:line="560" w:lineRule="exact"/>
        <w:rPr>
          <w:snapToGrid w:val="0"/>
        </w:rPr>
      </w:pPr>
    </w:p>
    <w:p w14:paraId="65EADFAA">
      <w:pPr>
        <w:spacing w:line="560" w:lineRule="exact"/>
        <w:ind w:firstLine="640" w:firstLineChars="200"/>
        <w:rPr>
          <w:rFonts w:ascii="仿宋_GB2312" w:eastAsia="仿宋_GB2312"/>
          <w:snapToGrid w:val="0"/>
          <w:sz w:val="32"/>
          <w:szCs w:val="32"/>
        </w:rPr>
      </w:pPr>
      <w:r>
        <w:rPr>
          <w:rFonts w:hint="eastAsia" w:ascii="仿宋_GB2312" w:eastAsia="仿宋_GB2312"/>
          <w:snapToGrid w:val="0"/>
          <w:sz w:val="32"/>
          <w:szCs w:val="32"/>
        </w:rPr>
        <w:t>伴随着“互联网+”、共享经济等新兴业态的兴起，为广大青年提供了更加多元的就业选择。然而由于种种原因，从事新职业的青年却面临着社会保障不足、社会参与渠道缺少等问题，切实关注新职业青年发展，在思想上引领、行动上支持、措施上服务新职业青年，成为新时代的重要工作。</w:t>
      </w:r>
    </w:p>
    <w:p w14:paraId="72788CE4">
      <w:pPr>
        <w:spacing w:line="560" w:lineRule="exact"/>
        <w:rPr>
          <w:rFonts w:ascii="黑体" w:hAnsi="黑体" w:eastAsia="黑体" w:cs="黑体"/>
          <w:snapToGrid w:val="0"/>
          <w:sz w:val="32"/>
          <w:szCs w:val="32"/>
        </w:rPr>
      </w:pPr>
      <w:r>
        <w:rPr>
          <w:rFonts w:hint="eastAsia" w:ascii="黑体" w:hAnsi="黑体" w:eastAsia="黑体" w:cs="黑体"/>
          <w:snapToGrid w:val="0"/>
          <w:sz w:val="32"/>
          <w:szCs w:val="32"/>
        </w:rPr>
        <w:t>一、基本情况</w:t>
      </w:r>
    </w:p>
    <w:p w14:paraId="50C807DD">
      <w:pPr>
        <w:spacing w:line="560" w:lineRule="exact"/>
        <w:ind w:firstLine="640" w:firstLineChars="200"/>
        <w:rPr>
          <w:rFonts w:ascii="仿宋_GB2312" w:eastAsia="仿宋_GB2312"/>
          <w:snapToGrid w:val="0"/>
          <w:sz w:val="32"/>
          <w:szCs w:val="32"/>
        </w:rPr>
      </w:pPr>
      <w:r>
        <w:rPr>
          <w:rFonts w:hint="eastAsia" w:ascii="仿宋_GB2312" w:eastAsia="仿宋_GB2312"/>
          <w:snapToGrid w:val="0"/>
          <w:sz w:val="32"/>
          <w:szCs w:val="32"/>
        </w:rPr>
        <w:t>新职业包含网约配送员、社区网格员、直播带货行业人员等多个群体，从多方面深入了解新职业青年的现实处境与未来发展。提出提高新职业青年社会参与度的对策建议，寻找新职业青年社会参与的行动逻辑，以更好地吸引广大青年积极响应国家的号召，肩负起社会赋予的使命。</w:t>
      </w:r>
    </w:p>
    <w:p w14:paraId="4A9EF245">
      <w:pPr>
        <w:spacing w:line="560" w:lineRule="exact"/>
        <w:rPr>
          <w:snapToGrid w:val="0"/>
          <w:sz w:val="32"/>
          <w:szCs w:val="32"/>
        </w:rPr>
      </w:pPr>
      <w:r>
        <w:rPr>
          <w:rFonts w:hint="eastAsia" w:ascii="黑体" w:hAnsi="黑体" w:eastAsia="黑体" w:cs="黑体"/>
          <w:snapToGrid w:val="0"/>
          <w:sz w:val="32"/>
          <w:szCs w:val="32"/>
        </w:rPr>
        <w:t>二、新职业青年社会参与问题及原因分析</w:t>
      </w:r>
    </w:p>
    <w:p w14:paraId="2931AED8">
      <w:pPr>
        <w:spacing w:line="560" w:lineRule="exact"/>
        <w:ind w:firstLine="640" w:firstLineChars="200"/>
        <w:rPr>
          <w:rFonts w:ascii="仿宋_GB2312" w:eastAsia="仿宋_GB2312"/>
          <w:snapToGrid w:val="0"/>
          <w:sz w:val="32"/>
          <w:szCs w:val="32"/>
        </w:rPr>
      </w:pPr>
      <w:r>
        <w:rPr>
          <w:rFonts w:hint="eastAsia" w:ascii="楷体_GB2312" w:hAnsi="楷体_GB2312" w:eastAsia="楷体_GB2312" w:cs="楷体_GB2312"/>
          <w:snapToGrid w:val="0"/>
          <w:sz w:val="32"/>
          <w:szCs w:val="32"/>
        </w:rPr>
        <w:t>（一）工作压力大，缺乏参与的时间和精力</w:t>
      </w:r>
      <w:r>
        <w:rPr>
          <w:rFonts w:hint="eastAsia" w:ascii="楷体_GB2312" w:eastAsia="楷体_GB2312"/>
          <w:snapToGrid w:val="0"/>
          <w:sz w:val="32"/>
          <w:szCs w:val="32"/>
        </w:rPr>
        <w:t>。</w:t>
      </w:r>
      <w:r>
        <w:rPr>
          <w:rFonts w:hint="eastAsia" w:ascii="仿宋_GB2312" w:eastAsia="仿宋_GB2312"/>
          <w:snapToGrid w:val="0"/>
          <w:sz w:val="32"/>
          <w:szCs w:val="32"/>
        </w:rPr>
        <w:t>调研发现接近一半新职业青年处于“过度劳动”状态中，工作时间在8小时以上，其中有近半数青年平均每月休息两天及以下。新职业青年既要承受作为独生子女照顾原生家庭的压力，也要面对解决婚恋及建立新家庭和照顾子女的责任，同时还要尽快适应行业更新和运作模式，应对新职业不断变化以及不断涌入的新的竞争者。在如此大的工作压力之下，青年很难具备社会参与的时间与精力，了解和参与各种各样的社区会议与选举活动等社会公共事务，更不论学习和掌握社会参与的技巧以提升自身素质。</w:t>
      </w:r>
    </w:p>
    <w:p w14:paraId="4CFB9DF0">
      <w:pPr>
        <w:spacing w:line="560" w:lineRule="exact"/>
        <w:ind w:firstLine="640" w:firstLineChars="200"/>
        <w:rPr>
          <w:rFonts w:ascii="仿宋_GB2312" w:eastAsia="仿宋_GB2312"/>
          <w:snapToGrid w:val="0"/>
          <w:sz w:val="32"/>
          <w:szCs w:val="32"/>
        </w:rPr>
      </w:pPr>
      <w:r>
        <w:rPr>
          <w:rFonts w:hint="eastAsia" w:ascii="楷体_GB2312" w:hAnsi="楷体_GB2312" w:eastAsia="楷体_GB2312" w:cs="楷体_GB2312"/>
          <w:snapToGrid w:val="0"/>
          <w:sz w:val="32"/>
          <w:szCs w:val="32"/>
        </w:rPr>
        <w:t>（二）社会保障弱，降低参与的安全感</w:t>
      </w:r>
      <w:r>
        <w:rPr>
          <w:rFonts w:hint="eastAsia" w:ascii="楷体_GB2312" w:eastAsia="楷体_GB2312"/>
          <w:snapToGrid w:val="0"/>
          <w:sz w:val="32"/>
          <w:szCs w:val="32"/>
        </w:rPr>
        <w:t>。</w:t>
      </w:r>
      <w:r>
        <w:rPr>
          <w:rFonts w:hint="eastAsia" w:ascii="仿宋_GB2312" w:eastAsia="仿宋_GB2312"/>
          <w:snapToGrid w:val="0"/>
          <w:sz w:val="32"/>
          <w:szCs w:val="32"/>
        </w:rPr>
        <w:t>在社会保障方面，近半数的新职业青年认为公司或单位配备的社会保险不太能够或不能够满足自己的需要，也有一部分人不太了解或不了解当地政府部门支持相关工作的政策或措施。以外卖小哥为例，电动自行车在交通事故总数中违法担责率高达90%以上，这使得新职业青年会对生活质量和生活保障产生一定怀疑和不安全感，使他们更倾向于获得更多的职业发展机会、工资报酬以增强自身的安全感，降低社会参与意愿。</w:t>
      </w:r>
    </w:p>
    <w:p w14:paraId="12B1672B">
      <w:pPr>
        <w:spacing w:line="560" w:lineRule="exact"/>
        <w:ind w:firstLine="640" w:firstLineChars="200"/>
        <w:rPr>
          <w:rFonts w:ascii="仿宋_GB2312" w:eastAsia="仿宋_GB2312"/>
          <w:snapToGrid w:val="0"/>
          <w:sz w:val="32"/>
          <w:szCs w:val="32"/>
        </w:rPr>
      </w:pPr>
      <w:r>
        <w:rPr>
          <w:rFonts w:hint="eastAsia" w:ascii="楷体_GB2312" w:hAnsi="楷体_GB2312" w:eastAsia="楷体_GB2312" w:cs="楷体_GB2312"/>
          <w:snapToGrid w:val="0"/>
          <w:sz w:val="32"/>
          <w:szCs w:val="32"/>
        </w:rPr>
        <w:t>（三）职业认可低，抑制参与的积极性</w:t>
      </w:r>
      <w:r>
        <w:rPr>
          <w:rFonts w:hint="eastAsia" w:ascii="楷体_GB2312" w:eastAsia="楷体_GB2312"/>
          <w:snapToGrid w:val="0"/>
          <w:sz w:val="32"/>
          <w:szCs w:val="32"/>
        </w:rPr>
        <w:t>。</w:t>
      </w:r>
      <w:r>
        <w:rPr>
          <w:rFonts w:hint="eastAsia" w:ascii="仿宋_GB2312" w:eastAsia="仿宋_GB2312"/>
          <w:snapToGrid w:val="0"/>
          <w:sz w:val="32"/>
          <w:szCs w:val="32"/>
        </w:rPr>
        <w:t>接近半数的新职业青年认为自己从事的工作经常在网络上受到调侃，在一些社会矛盾与新闻报道的刺激下，社会大众对于一些新职业从事者，尤其是外卖小哥、主播等人的工作专业性，甚至是个人文化素质的争论频频。在迅捷的网络的助推下，网民的负面、消极意见被新职业青年听到，新职业青年认为自己本身不受欢迎，在介入社区公共事务时可能会加深这一自我认知，削弱了青年社会参与的自信心，同时认为自己“人微言轻”，自身参与对于社会发展和进步并没有明显的效果，获得感较低。因此，新职业青年社会参与的积极性受到较强的冲击。</w:t>
      </w:r>
    </w:p>
    <w:p w14:paraId="11D8FE0D">
      <w:pPr>
        <w:spacing w:line="560" w:lineRule="exact"/>
        <w:ind w:firstLine="640" w:firstLineChars="200"/>
        <w:rPr>
          <w:rFonts w:ascii="仿宋_GB2312" w:eastAsia="仿宋_GB2312"/>
          <w:snapToGrid w:val="0"/>
          <w:sz w:val="32"/>
          <w:szCs w:val="32"/>
        </w:rPr>
      </w:pPr>
      <w:r>
        <w:rPr>
          <w:rFonts w:hint="eastAsia" w:ascii="楷体_GB2312" w:hAnsi="楷体_GB2312" w:eastAsia="楷体_GB2312" w:cs="楷体_GB2312"/>
          <w:snapToGrid w:val="0"/>
          <w:sz w:val="32"/>
          <w:szCs w:val="32"/>
        </w:rPr>
        <w:t>（四）渠道接触少，削弱参与的可能性</w:t>
      </w:r>
      <w:r>
        <w:rPr>
          <w:rFonts w:hint="eastAsia" w:ascii="楷体_GB2312" w:eastAsia="楷体_GB2312"/>
          <w:snapToGrid w:val="0"/>
          <w:sz w:val="32"/>
          <w:szCs w:val="32"/>
        </w:rPr>
        <w:t>。</w:t>
      </w:r>
      <w:r>
        <w:rPr>
          <w:rFonts w:hint="eastAsia" w:ascii="仿宋_GB2312" w:eastAsia="仿宋_GB2312"/>
          <w:snapToGrid w:val="0"/>
          <w:sz w:val="32"/>
          <w:szCs w:val="32"/>
        </w:rPr>
        <w:t>受访青年所在企业单位缺乏向青年介绍参与社会事务的常见渠道和途径的意识，同时民间青年自组织以及正规社会组织的数量不多、覆盖面不足，青年社会参与整体平台搭建工作力度不大等多方面原因，限制了青年对社会事务的参与。调查发现尽管绝大多数的青年知道参与线下娱乐活动的相关渠道，但由于互联网普及、信息技术成熟，大多数青年还是更愿意通过网络放松身心、娱乐生活，而共青团等组织线上凝聚青年的方式仍需提升，使得青年社会参与度不高。</w:t>
      </w:r>
    </w:p>
    <w:p w14:paraId="6CA48345">
      <w:pPr>
        <w:spacing w:line="560" w:lineRule="exact"/>
        <w:rPr>
          <w:snapToGrid w:val="0"/>
          <w:sz w:val="32"/>
          <w:szCs w:val="32"/>
        </w:rPr>
      </w:pPr>
      <w:r>
        <w:rPr>
          <w:rFonts w:hint="eastAsia" w:ascii="黑体" w:hAnsi="黑体" w:eastAsia="黑体" w:cs="黑体"/>
          <w:snapToGrid w:val="0"/>
          <w:sz w:val="32"/>
          <w:szCs w:val="32"/>
        </w:rPr>
        <w:t>三、推动新职业青年社会参与的相关对策建议</w:t>
      </w:r>
    </w:p>
    <w:p w14:paraId="2D0A077D">
      <w:pPr>
        <w:spacing w:line="560" w:lineRule="exact"/>
        <w:ind w:firstLine="640" w:firstLineChars="200"/>
        <w:rPr>
          <w:rFonts w:ascii="仿宋_GB2312" w:hAnsi="楷体_GB2312" w:eastAsia="仿宋_GB2312" w:cs="楷体_GB2312"/>
          <w:snapToGrid w:val="0"/>
          <w:sz w:val="32"/>
          <w:szCs w:val="32"/>
        </w:rPr>
      </w:pPr>
      <w:r>
        <w:rPr>
          <w:rFonts w:hint="eastAsia" w:ascii="楷体_GB2312" w:hAnsi="楷体_GB2312" w:eastAsia="楷体_GB2312" w:cs="楷体_GB2312"/>
          <w:snapToGrid w:val="0"/>
          <w:sz w:val="32"/>
          <w:szCs w:val="32"/>
        </w:rPr>
        <w:t>（一）加大宣传引导力度，提升新职业青年社会认可度。</w:t>
      </w:r>
      <w:r>
        <w:rPr>
          <w:rFonts w:hint="eastAsia" w:ascii="仿宋_GB2312" w:eastAsia="仿宋_GB2312"/>
          <w:snapToGrid w:val="0"/>
          <w:sz w:val="32"/>
          <w:szCs w:val="32"/>
        </w:rPr>
        <w:t>加大宣传引领力度，提升新职业青年在全社会的认可度、美誉度。针对广大新职业从业青年在职业认同上存在的偏差，倡导正确的职业观和从业观，营造“三百六十行，行行出状元”的从业理念，激发和保护新职业从业青年的从业进取心和自我存在感，提高新职业从业青年的认同感和获得感。</w:t>
      </w:r>
    </w:p>
    <w:p w14:paraId="4B1BB36A">
      <w:pPr>
        <w:spacing w:line="560" w:lineRule="exact"/>
        <w:ind w:firstLine="640" w:firstLineChars="200"/>
        <w:rPr>
          <w:rFonts w:ascii="仿宋_GB2312" w:hAnsi="楷体_GB2312" w:eastAsia="仿宋_GB2312" w:cs="楷体_GB2312"/>
          <w:snapToGrid w:val="0"/>
          <w:sz w:val="32"/>
          <w:szCs w:val="32"/>
        </w:rPr>
      </w:pPr>
      <w:r>
        <w:rPr>
          <w:rFonts w:hint="eastAsia" w:ascii="楷体_GB2312" w:hAnsi="楷体_GB2312" w:eastAsia="楷体_GB2312" w:cs="楷体_GB2312"/>
          <w:snapToGrid w:val="0"/>
          <w:sz w:val="32"/>
          <w:szCs w:val="32"/>
        </w:rPr>
        <w:t>（二）完善青年社会保障制度，健全新兴职业社保体系。</w:t>
      </w:r>
      <w:r>
        <w:rPr>
          <w:rFonts w:hint="eastAsia" w:ascii="仿宋_GB2312" w:eastAsia="仿宋_GB2312"/>
          <w:snapToGrid w:val="0"/>
          <w:sz w:val="32"/>
          <w:szCs w:val="32"/>
        </w:rPr>
        <w:t>广泛收集新职业从业领域的青年社会保障信息以及广大从业青年的切实需求，逐步落实完善新兴职业领域的社会保障体系，破除青年社会参与的心理顾虑。密切关注新职业从业青年在就业、教育、住房、家庭养老等方面急需的保障需求，在各个方面制定针对性更强、更公平、更能提升青年获得感的社会保障政策。同时通过举办培训、开展活动、提供服务等方式宣传青年社会保障制度和政策，更加有效地保障青年的社会权益。</w:t>
      </w:r>
    </w:p>
    <w:p w14:paraId="43461C1F">
      <w:pPr>
        <w:spacing w:line="560" w:lineRule="exact"/>
        <w:ind w:firstLine="640" w:firstLineChars="200"/>
        <w:rPr>
          <w:rFonts w:ascii="仿宋_GB2312" w:hAnsi="楷体_GB2312" w:eastAsia="仿宋_GB2312" w:cs="楷体_GB2312"/>
          <w:snapToGrid w:val="0"/>
          <w:sz w:val="32"/>
          <w:szCs w:val="32"/>
        </w:rPr>
      </w:pPr>
      <w:r>
        <w:rPr>
          <w:rFonts w:hint="eastAsia" w:ascii="楷体_GB2312" w:hAnsi="楷体_GB2312" w:eastAsia="楷体_GB2312" w:cs="楷体_GB2312"/>
          <w:snapToGrid w:val="0"/>
          <w:sz w:val="32"/>
          <w:szCs w:val="32"/>
        </w:rPr>
        <w:t>（三）关注新兴青年关心话题，保护青年生存发展权利。</w:t>
      </w:r>
      <w:r>
        <w:rPr>
          <w:rFonts w:hint="eastAsia" w:ascii="仿宋_GB2312" w:eastAsia="仿宋_GB2312"/>
          <w:snapToGrid w:val="0"/>
          <w:sz w:val="32"/>
          <w:szCs w:val="32"/>
        </w:rPr>
        <w:t>新职业从业青年普遍关注的话题主要涉及住房保障低、家庭组建难、子女教育压力大、养老负担重、生活成本高等方面，因此需要出台并落实针对新职业青年的住房扶助政策、相亲交友平台等，在青年关心的民生问题上切实给予新职业青年以扶持，使他们能够安居乐业，真正有时间投入到社会参与之中，为社会发展贡献自己的一点力量，同时借助互联网、大数据力量，重新职业青年广泛关注的话题入手，想方设法从青年关注的核心问题出发吸引青年参与志愿活动、政治生活等，最大化地调动青年参与积极性和主动性。</w:t>
      </w:r>
    </w:p>
    <w:p w14:paraId="0EA30707">
      <w:pPr>
        <w:spacing w:line="560" w:lineRule="exact"/>
        <w:ind w:firstLine="640" w:firstLineChars="200"/>
        <w:rPr>
          <w:rFonts w:ascii="仿宋_GB2312" w:eastAsia="仿宋_GB2312"/>
          <w:snapToGrid w:val="0"/>
          <w:sz w:val="32"/>
          <w:szCs w:val="32"/>
        </w:rPr>
      </w:pPr>
      <w:r>
        <w:rPr>
          <w:rFonts w:hint="eastAsia" w:ascii="楷体_GB2312" w:hAnsi="楷体_GB2312" w:eastAsia="楷体_GB2312" w:cs="楷体_GB2312"/>
          <w:snapToGrid w:val="0"/>
          <w:sz w:val="32"/>
          <w:szCs w:val="32"/>
        </w:rPr>
        <w:t>（四）建立需求表达反馈机制，培育青年社会参与热情</w:t>
      </w:r>
      <w:r>
        <w:rPr>
          <w:rFonts w:hint="eastAsia" w:ascii="楷体_GB2312" w:eastAsia="楷体_GB2312"/>
          <w:snapToGrid w:val="0"/>
          <w:sz w:val="32"/>
          <w:szCs w:val="32"/>
        </w:rPr>
        <w:t>。</w:t>
      </w:r>
      <w:r>
        <w:rPr>
          <w:rFonts w:hint="eastAsia" w:ascii="仿宋_GB2312" w:eastAsia="仿宋_GB2312"/>
          <w:snapToGrid w:val="0"/>
          <w:sz w:val="32"/>
          <w:szCs w:val="32"/>
        </w:rPr>
        <w:t>新职业青年群体有着各种各样的发展诉求，但是却缺乏畅通的需求表达渠道，无法充分地表达自己的需求和想法，更无法充分的保障自己的利益，或者即使群体的诉求得到有效表达，然而又因为没有完善的回应机制，导致需求无法反馈。应当积极建立新职业青年社会参与的需求表达反馈机制，保护青年参与者的社会参与热情。要用好“共青团与人大代表、政协委员面对面”等活动，邀请新职业青年共同围绕有关事项进行专题研讨，充分表达群体诉求、参与社会治理，进一步激发新职业青年社会参与的“主人翁”精神。</w:t>
      </w:r>
    </w:p>
    <w:p w14:paraId="76ACEE23">
      <w:pPr>
        <w:spacing w:line="560" w:lineRule="exact"/>
        <w:ind w:firstLine="640" w:firstLineChars="200"/>
        <w:rPr>
          <w:rFonts w:ascii="仿宋_GB2312" w:hAnsi="楷体_GB2312" w:eastAsia="仿宋_GB2312" w:cs="楷体_GB2312"/>
          <w:snapToGrid w:val="0"/>
          <w:sz w:val="32"/>
          <w:szCs w:val="32"/>
        </w:rPr>
      </w:pPr>
      <w:r>
        <w:rPr>
          <w:rFonts w:hint="eastAsia" w:ascii="楷体_GB2312" w:hAnsi="楷体_GB2312" w:eastAsia="楷体_GB2312" w:cs="楷体_GB2312"/>
          <w:snapToGrid w:val="0"/>
          <w:sz w:val="32"/>
          <w:szCs w:val="32"/>
        </w:rPr>
        <w:t>（五）利用多元组织合力效应，探索多种社会参与路径。</w:t>
      </w:r>
      <w:r>
        <w:rPr>
          <w:rFonts w:hint="eastAsia" w:ascii="仿宋_GB2312" w:eastAsia="仿宋_GB2312"/>
          <w:snapToGrid w:val="0"/>
          <w:sz w:val="32"/>
          <w:szCs w:val="32"/>
        </w:rPr>
        <w:t>调研发现，当前新职业青年的社会参与路径还有待拓展。因此，在提升青年社会参与能力的同时，也需要思考如何有效拓宽青年社会参与渠道，以最大化地推动新兴职业青年的社会参与。要积极整合、链接社会资源，加大对新职业青年社会组织的扶持力度，通过鼓励开展各类活动，进行专业培训等，进一步培养新职业青年社会组织内部凝聚力，组织各类新职业青年喜闻乐见的文体娱乐、志愿公益、相亲交友等活动，并提供他们迫切需要的关爱慰问、心理咨询、法律维权等服务，合力为新职业青年社会组织发展提供服务，不断拓展青年社会参与的途径。</w:t>
      </w:r>
    </w:p>
    <w:p w14:paraId="02C8DABC">
      <w:pPr>
        <w:spacing w:line="560" w:lineRule="exact"/>
        <w:ind w:firstLine="640" w:firstLineChars="200"/>
        <w:rPr>
          <w:rFonts w:ascii="仿宋_GB2312" w:eastAsia="仿宋_GB2312"/>
          <w:snapToGrid w:val="0"/>
          <w:sz w:val="32"/>
          <w:szCs w:val="32"/>
        </w:rPr>
      </w:pPr>
      <w:r>
        <w:rPr>
          <w:rFonts w:hint="eastAsia" w:ascii="仿宋_GB2312" w:eastAsia="仿宋_GB2312"/>
          <w:snapToGrid w:val="0"/>
          <w:sz w:val="32"/>
          <w:szCs w:val="32"/>
        </w:rPr>
        <w:t>新经济催生新业态，新业态呼唤新使命。新时代青年面临着更加多元的就业选择，也承担着不同以往的使命和责任。新兴事物总在不断发展和完善，在新职业青年努力奋进的过程中，作为共青团组织应当充分发挥青年引路人的角色，一方面要关心新职业青年的成长发展，尊重青年主体地位，为青年发展提供充足可靠的后备力量；另一方面，也要积极挖掘青年优势，发挥青年主体作用，拓宽青年社会参与渠道，以密切联系新职业青年群体，助力新经济业态长足有效发展。</w:t>
      </w:r>
    </w:p>
    <w:p w14:paraId="77F414FC">
      <w:pPr>
        <w:spacing w:line="560" w:lineRule="exact"/>
        <w:rPr>
          <w:snapToGrid w:val="0"/>
        </w:rPr>
      </w:pPr>
    </w:p>
    <w:p w14:paraId="56357E61">
      <w:pPr>
        <w:rPr>
          <w:rFonts w:ascii="楷体_GB2312" w:hAnsi="宋体" w:eastAsia="楷体_GB2312"/>
          <w:sz w:val="32"/>
          <w:szCs w:val="32"/>
        </w:rPr>
      </w:pPr>
    </w:p>
    <w:p w14:paraId="55D95AFE">
      <w:pPr>
        <w:rPr>
          <w:rFonts w:ascii="楷体_GB2312" w:hAnsi="宋体" w:eastAsia="楷体_GB2312"/>
          <w:sz w:val="32"/>
          <w:szCs w:val="32"/>
        </w:rPr>
      </w:pPr>
    </w:p>
    <w:p w14:paraId="2EA868F3">
      <w:pPr>
        <w:rPr>
          <w:rFonts w:ascii="楷体_GB2312" w:hAnsi="宋体" w:eastAsia="楷体_GB2312"/>
          <w:sz w:val="32"/>
          <w:szCs w:val="32"/>
        </w:rPr>
      </w:pPr>
    </w:p>
    <w:p w14:paraId="563A6B68">
      <w:pPr>
        <w:rPr>
          <w:rFonts w:ascii="楷体_GB2312" w:hAnsi="宋体" w:eastAsia="楷体_GB2312"/>
          <w:sz w:val="32"/>
          <w:szCs w:val="32"/>
        </w:rPr>
      </w:pPr>
    </w:p>
    <w:p w14:paraId="2305814D">
      <w:pPr>
        <w:rPr>
          <w:rFonts w:ascii="楷体_GB2312" w:hAnsi="宋体" w:eastAsia="楷体_GB2312"/>
          <w:sz w:val="32"/>
          <w:szCs w:val="32"/>
        </w:rPr>
      </w:pPr>
    </w:p>
    <w:p w14:paraId="278F7C68">
      <w:pPr>
        <w:rPr>
          <w:rFonts w:ascii="楷体_GB2312" w:hAnsi="宋体" w:eastAsia="楷体_GB2312"/>
          <w:sz w:val="32"/>
          <w:szCs w:val="32"/>
        </w:rPr>
      </w:pPr>
      <w:r>
        <w:rPr>
          <w:rFonts w:hint="eastAsia" w:ascii="楷体_GB2312" w:hAnsi="宋体" w:eastAsia="楷体_GB2312"/>
          <w:sz w:val="32"/>
          <w:szCs w:val="32"/>
        </w:rPr>
        <w:t>提案编号：059</w:t>
      </w:r>
    </w:p>
    <w:p w14:paraId="5038A2D9">
      <w:pPr>
        <w:ind w:left="1600" w:hanging="1600" w:hangingChars="500"/>
        <w:rPr>
          <w:rFonts w:ascii="楷体_GB2312" w:hAnsi="方正小标宋简体" w:eastAsia="楷体_GB2312" w:cs="方正小标宋简体"/>
          <w:sz w:val="32"/>
          <w:szCs w:val="32"/>
        </w:rPr>
      </w:pPr>
      <w:r>
        <w:rPr>
          <w:rFonts w:hint="eastAsia" w:ascii="楷体_GB2312" w:hAnsi="宋体" w:eastAsia="楷体_GB2312"/>
          <w:sz w:val="32"/>
          <w:szCs w:val="32"/>
        </w:rPr>
        <w:t>提案名称：关于</w:t>
      </w:r>
      <w:r>
        <w:rPr>
          <w:rFonts w:hint="eastAsia" w:ascii="楷体_GB2312" w:hAnsi="方正小标宋简体" w:eastAsia="楷体_GB2312" w:cs="方正小标宋简体"/>
          <w:sz w:val="32"/>
          <w:szCs w:val="32"/>
        </w:rPr>
        <w:t>推进老旧小区改造 加强改后小区治理的提案</w:t>
      </w:r>
    </w:p>
    <w:p w14:paraId="630B8B77">
      <w:pPr>
        <w:rPr>
          <w:rFonts w:ascii="楷体_GB2312" w:hAnsi="方正小标宋简体" w:eastAsia="楷体_GB2312" w:cs="方正小标宋简体"/>
          <w:sz w:val="32"/>
          <w:szCs w:val="32"/>
        </w:rPr>
      </w:pPr>
      <w:r>
        <w:rPr>
          <w:rFonts w:hint="eastAsia" w:ascii="楷体_GB2312" w:hAnsi="宋体" w:eastAsia="楷体_GB2312"/>
          <w:sz w:val="32"/>
          <w:szCs w:val="32"/>
        </w:rPr>
        <w:t>提 案 人：</w:t>
      </w:r>
      <w:r>
        <w:rPr>
          <w:rFonts w:hint="eastAsia" w:ascii="楷体" w:hAnsi="楷体" w:eastAsia="楷体" w:cs="楷体"/>
          <w:sz w:val="32"/>
          <w:szCs w:val="32"/>
        </w:rPr>
        <w:t>朱景平</w:t>
      </w:r>
    </w:p>
    <w:p w14:paraId="210DF0E2">
      <w:pPr>
        <w:rPr>
          <w:rFonts w:ascii="楷体_GB2312" w:hAnsi="宋体" w:eastAsia="楷体_GB2312"/>
          <w:sz w:val="32"/>
          <w:szCs w:val="32"/>
        </w:rPr>
      </w:pPr>
      <w:r>
        <w:rPr>
          <w:rFonts w:hint="eastAsia" w:ascii="楷体_GB2312" w:hAnsi="宋体" w:eastAsia="楷体_GB2312"/>
          <w:sz w:val="32"/>
          <w:szCs w:val="32"/>
        </w:rPr>
        <w:t>联系方式：13804768559</w:t>
      </w:r>
    </w:p>
    <w:p w14:paraId="3F1BE918">
      <w:pPr>
        <w:rPr>
          <w:rFonts w:ascii="楷体_GB2312" w:hAnsi="宋体" w:eastAsia="楷体_GB2312"/>
          <w:sz w:val="32"/>
          <w:szCs w:val="32"/>
        </w:rPr>
      </w:pPr>
      <w:r>
        <w:rPr>
          <w:rFonts w:hint="eastAsia" w:ascii="楷体_GB2312" w:hAnsi="宋体" w:eastAsia="楷体_GB2312"/>
          <w:sz w:val="32"/>
          <w:szCs w:val="32"/>
        </w:rPr>
        <w:t>界    别：文化体育和新闻</w:t>
      </w:r>
    </w:p>
    <w:p w14:paraId="3AA3E441">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关于推进老旧小区改造 加强改后小区治理的提案</w:t>
      </w:r>
    </w:p>
    <w:p w14:paraId="1B50B1CA">
      <w:pPr>
        <w:ind w:firstLine="640" w:firstLineChars="200"/>
        <w:rPr>
          <w:rFonts w:ascii="仿宋" w:hAnsi="仿宋" w:eastAsia="仿宋" w:cs="仿宋"/>
          <w:sz w:val="32"/>
          <w:szCs w:val="32"/>
        </w:rPr>
      </w:pPr>
    </w:p>
    <w:p w14:paraId="5555AD80">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老旧小区改造涉及千家万户，不仅是城市更新的重要工程，更是惠及民众的民生工程、暖心工程，它让小区环境改善、面貌一新，让居民有了更多的获得感和幸福感，是民之所期、众之所盼，举目共睹、社会关注。</w:t>
      </w:r>
    </w:p>
    <w:p w14:paraId="2227874B">
      <w:pPr>
        <w:ind w:firstLine="640" w:firstLineChars="200"/>
        <w:rPr>
          <w:rFonts w:ascii="黑体" w:hAnsi="黑体" w:eastAsia="黑体" w:cs="黑体"/>
          <w:sz w:val="32"/>
          <w:szCs w:val="32"/>
        </w:rPr>
      </w:pPr>
      <w:r>
        <w:rPr>
          <w:rFonts w:hint="eastAsia" w:ascii="黑体" w:hAnsi="黑体" w:eastAsia="黑体" w:cs="黑体"/>
          <w:sz w:val="32"/>
          <w:szCs w:val="32"/>
        </w:rPr>
        <w:t>一、基本情况</w:t>
      </w:r>
    </w:p>
    <w:p w14:paraId="4C084719">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2021年起，我旗开始有序推进老旧小区改造，我旗</w:t>
      </w:r>
      <w:r>
        <w:rPr>
          <w:rFonts w:hint="eastAsia" w:ascii="仿宋_GB2312" w:hAnsi="黑体" w:eastAsia="仿宋_GB2312" w:cs="仿宋"/>
          <w:sz w:val="32"/>
          <w:szCs w:val="32"/>
        </w:rPr>
        <w:t>2005年及以前建成的老旧小区共77个、148栋、5833户、62.72万平方米。</w:t>
      </w:r>
      <w:r>
        <w:rPr>
          <w:rFonts w:hint="eastAsia" w:ascii="仿宋_GB2312" w:hAnsi="黑体" w:eastAsia="仿宋_GB2312" w:cs="仿宋_GB2312"/>
          <w:sz w:val="32"/>
          <w:szCs w:val="32"/>
        </w:rPr>
        <w:t>截止到2024年末，已完成67个小区、112栋楼、4273户、45.85万平老旧小区改造升级工作，改造内容主要为配套基础设施改造和既有建筑节能改造。老旧小区改造共完成投资约15125万元，户均投资约3.5万元，其中：申请中央及自治区财政补助资金5209万元，中央预算内资金4043万元，旗政府自筹资金5873万元（发行一般性债券自筹3597万元，自筹2276万元）。小区改造后环境、居住、出行条件得到明显改善，冬季室内温度全部达到供热标准值，改造后小区冬季供暖投诉率为零，居民幸福感、获得感得到显著提升。</w:t>
      </w:r>
    </w:p>
    <w:p w14:paraId="44C7C020">
      <w:pPr>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二、存在问题</w:t>
      </w:r>
    </w:p>
    <w:p w14:paraId="1FD02CC7">
      <w:pPr>
        <w:spacing w:line="640" w:lineRule="exact"/>
        <w:ind w:firstLine="640" w:firstLineChars="200"/>
        <w:rPr>
          <w:rFonts w:ascii="Times New Roman" w:hAnsi="Times New Roman" w:eastAsia="仿宋_GB2312"/>
          <w:b/>
          <w:bCs/>
          <w:sz w:val="32"/>
          <w:szCs w:val="32"/>
        </w:rPr>
      </w:pPr>
      <w:r>
        <w:rPr>
          <w:rFonts w:hint="eastAsia" w:ascii="楷体_GB2312" w:hAnsi="楷体" w:eastAsia="楷体_GB2312" w:cs="楷体"/>
          <w:sz w:val="32"/>
          <w:szCs w:val="32"/>
        </w:rPr>
        <w:t>（一）资金筹集难。</w:t>
      </w:r>
      <w:r>
        <w:rPr>
          <w:rFonts w:hint="eastAsia" w:ascii="Times New Roman" w:hAnsi="Times New Roman" w:eastAsia="仿宋_GB2312"/>
          <w:sz w:val="32"/>
          <w:szCs w:val="32"/>
        </w:rPr>
        <w:t>政府部门面临着极为严峻的资金筹措难题。一方面，财政预算中可用于老旧小区改造的专项资金相对有限，难以满足众多老旧小区全面改造的庞大资金需求。另一方面，向上级部门争取资金支持的过程中，由于审批流程复杂、涉及部门众多以及相关手续繁琐等因素，导致资金拨付的进度异常缓慢，严重影响了老旧小区改造工作的整体推进计划与实施效率。</w:t>
      </w:r>
    </w:p>
    <w:p w14:paraId="1868A405">
      <w:pPr>
        <w:ind w:firstLine="640" w:firstLineChars="200"/>
        <w:rPr>
          <w:rFonts w:ascii="仿宋" w:hAnsi="仿宋" w:eastAsia="仿宋" w:cs="仿宋"/>
          <w:sz w:val="32"/>
          <w:szCs w:val="32"/>
        </w:rPr>
      </w:pPr>
      <w:r>
        <w:rPr>
          <w:rFonts w:hint="eastAsia" w:ascii="楷体_GB2312" w:hAnsi="楷体" w:eastAsia="楷体_GB2312" w:cs="楷体"/>
          <w:sz w:val="32"/>
          <w:szCs w:val="32"/>
        </w:rPr>
        <w:t>（二）配套服务不完善</w:t>
      </w:r>
      <w:r>
        <w:rPr>
          <w:rFonts w:hint="eastAsia" w:ascii="楷体_GB2312" w:eastAsia="楷体_GB2312"/>
          <w:sz w:val="32"/>
          <w:szCs w:val="32"/>
        </w:rPr>
        <w:t>。</w:t>
      </w:r>
      <w:r>
        <w:rPr>
          <w:rFonts w:hint="eastAsia" w:ascii="仿宋" w:hAnsi="仿宋" w:eastAsia="仿宋" w:cs="仿宋"/>
          <w:sz w:val="32"/>
          <w:szCs w:val="32"/>
        </w:rPr>
        <w:t>老旧小区自身用地局促紧张，没有闲置空间作为公共服务配套。停车位、充电桩的增设涉及各家各户的切身利益,需要做大量的协调工作,实施起来很困难,尤其需要大量的资金投入,面对这些问题,建设方往往不愿过多牵涉,导致配套服务缺失。</w:t>
      </w:r>
    </w:p>
    <w:p w14:paraId="5BB2BE2C">
      <w:pPr>
        <w:spacing w:line="560" w:lineRule="exact"/>
        <w:ind w:firstLine="640" w:firstLineChars="200"/>
        <w:rPr>
          <w:rFonts w:ascii="Times New Roman" w:hAnsi="Times New Roman" w:eastAsia="仿宋_GB2312"/>
          <w:sz w:val="32"/>
          <w:szCs w:val="32"/>
        </w:rPr>
      </w:pPr>
      <w:r>
        <w:rPr>
          <w:rFonts w:hint="eastAsia" w:ascii="楷体_GB2312" w:hAnsi="楷体" w:eastAsia="楷体_GB2312" w:cs="楷体"/>
          <w:sz w:val="32"/>
          <w:szCs w:val="32"/>
        </w:rPr>
        <w:t>（三）物业服务引进难。</w:t>
      </w:r>
      <w:r>
        <w:rPr>
          <w:rFonts w:hint="eastAsia" w:ascii="仿宋" w:hAnsi="仿宋" w:eastAsia="仿宋" w:cs="仿宋"/>
          <w:sz w:val="32"/>
          <w:szCs w:val="32"/>
        </w:rPr>
        <w:t>老旧小区往往存在无物业管理、无维修管养经费的问题，基础设施条件比较差，长期以来，居民习惯了有事找政府，不太适应物业管理模式。同时老旧小区居民组成比较杂，老弱病困占比较高，家庭收入偏低，不愿接受有偿的物业服务。如果改造完成后小区管理继续缺位，就会导致改造成果无法维持，造成反弹。</w:t>
      </w:r>
    </w:p>
    <w:p w14:paraId="3035B393">
      <w:pPr>
        <w:spacing w:line="560" w:lineRule="exact"/>
        <w:ind w:firstLine="640" w:firstLineChars="200"/>
        <w:rPr>
          <w:rFonts w:ascii="Times New Roman" w:hAnsi="Times New Roman" w:eastAsia="仿宋_GB2312"/>
          <w:sz w:val="32"/>
          <w:szCs w:val="32"/>
        </w:rPr>
      </w:pPr>
      <w:r>
        <w:rPr>
          <w:rFonts w:hint="eastAsia" w:ascii="楷体_GB2312" w:hAnsi="楷体" w:eastAsia="楷体_GB2312" w:cs="楷体"/>
          <w:sz w:val="32"/>
          <w:szCs w:val="32"/>
        </w:rPr>
        <w:t>（四）通讯“飞线”清理难。</w:t>
      </w:r>
      <w:r>
        <w:rPr>
          <w:rFonts w:hint="eastAsia" w:ascii="仿宋" w:hAnsi="仿宋" w:eastAsia="仿宋" w:cs="仿宋"/>
          <w:sz w:val="32"/>
          <w:szCs w:val="32"/>
        </w:rPr>
        <w:t>改造后，</w:t>
      </w:r>
      <w:r>
        <w:rPr>
          <w:rFonts w:hint="eastAsia" w:ascii="Times New Roman" w:hAnsi="Times New Roman" w:eastAsia="仿宋_GB2312"/>
          <w:sz w:val="32"/>
          <w:szCs w:val="32"/>
        </w:rPr>
        <w:t>小区“飞线”悬空，既是消防隐患风险点，又影响了改造后小区的整体环境美观，尤以政府小区、建筑公司家属楼、五金公司家属楼等问题较为突出。由于线路涉及农电、移动、联通、电信、有线电视等多个部门，协调难度大、改造成本高，因此成为我旗老旧小区改造工作中的一大难题。</w:t>
      </w:r>
    </w:p>
    <w:p w14:paraId="72A3784D">
      <w:pPr>
        <w:ind w:firstLine="640" w:firstLineChars="200"/>
        <w:rPr>
          <w:rFonts w:ascii="仿宋" w:hAnsi="仿宋" w:eastAsia="仿宋" w:cs="仿宋"/>
          <w:sz w:val="32"/>
          <w:szCs w:val="32"/>
        </w:rPr>
      </w:pPr>
      <w:r>
        <w:rPr>
          <w:rFonts w:hint="eastAsia" w:ascii="楷体_GB2312" w:hAnsi="楷体" w:eastAsia="楷体_GB2312" w:cs="楷体"/>
          <w:sz w:val="32"/>
          <w:szCs w:val="32"/>
        </w:rPr>
        <w:t>（五）居民参与度低。</w:t>
      </w:r>
      <w:r>
        <w:rPr>
          <w:rFonts w:hint="eastAsia" w:ascii="仿宋" w:hAnsi="仿宋" w:eastAsia="仿宋" w:cs="仿宋"/>
          <w:sz w:val="32"/>
          <w:szCs w:val="32"/>
        </w:rPr>
        <w:t>老旧小区中的居民对改造的认识不足、对改造效果的疑虑以及缺乏有效的沟通渠道，导致居民在参与老旧小区治理过程中呈现出参与意识薄弱、参与渠道不畅通、参与层次不高等治理困境，长此以往就会使社区治理与发展陷入不良循环。</w:t>
      </w:r>
    </w:p>
    <w:p w14:paraId="474FA449">
      <w:pPr>
        <w:pStyle w:val="8"/>
        <w:ind w:left="0" w:leftChars="0" w:firstLine="640" w:firstLineChars="200"/>
        <w:rPr>
          <w:rFonts w:ascii="黑体" w:hAnsi="黑体" w:eastAsia="黑体" w:cs="黑体"/>
          <w:sz w:val="32"/>
          <w:szCs w:val="32"/>
        </w:rPr>
      </w:pPr>
      <w:r>
        <w:rPr>
          <w:rFonts w:hint="eastAsia" w:ascii="黑体" w:hAnsi="黑体" w:eastAsia="黑体" w:cs="黑体"/>
          <w:sz w:val="32"/>
          <w:szCs w:val="32"/>
        </w:rPr>
        <w:t>三、建议</w:t>
      </w:r>
    </w:p>
    <w:p w14:paraId="0F2773C7">
      <w:pPr>
        <w:spacing w:line="640" w:lineRule="exact"/>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（一）做好改造规划计划。</w:t>
      </w:r>
      <w:r>
        <w:rPr>
          <w:rFonts w:hint="eastAsia" w:ascii="仿宋_GB2312" w:hAnsi="仿宋_GB2312" w:eastAsia="仿宋_GB2312" w:cs="仿宋_GB2312"/>
          <w:sz w:val="32"/>
          <w:szCs w:val="32"/>
        </w:rPr>
        <w:t>区分轻重缓急，立足财力实际，合理规划计划，优先对居民改造意愿强、参与积极性高的小区实施改造。2025年计划实施改造的老旧小区，要做好入户调研、规划设计及施工许可办理工作，对已完成招标手续的小区抓紧办理施工许可证，对拟申报改造的小区尽快开展立项、可研及设计工作。</w:t>
      </w:r>
    </w:p>
    <w:p w14:paraId="57BEBFAA">
      <w:pPr>
        <w:spacing w:line="640" w:lineRule="exact"/>
        <w:ind w:firstLine="640" w:firstLineChars="200"/>
        <w:rPr>
          <w:rFonts w:ascii="仿宋" w:hAnsi="仿宋" w:eastAsia="仿宋" w:cs="仿宋"/>
          <w:sz w:val="32"/>
          <w:szCs w:val="32"/>
        </w:rPr>
      </w:pPr>
      <w:r>
        <w:rPr>
          <w:rFonts w:hint="eastAsia" w:ascii="楷体_GB2312" w:hAnsi="楷体" w:eastAsia="楷体_GB2312" w:cs="楷体"/>
          <w:sz w:val="32"/>
          <w:szCs w:val="32"/>
        </w:rPr>
        <w:t>（二）动员居民积极支持。</w:t>
      </w:r>
      <w:r>
        <w:rPr>
          <w:rFonts w:hint="eastAsia" w:ascii="仿宋" w:hAnsi="仿宋" w:eastAsia="仿宋" w:cs="仿宋"/>
          <w:sz w:val="32"/>
          <w:szCs w:val="32"/>
        </w:rPr>
        <w:t>社区党组织引领，协调居委会、业主委员会、物业服务企业共同推进改造工程。开展基层协商，了解居民诉求，促进居民形成共识，动员居民积极配合施工，参与监督，评价和反馈小区改造成果。</w:t>
      </w:r>
    </w:p>
    <w:p w14:paraId="2A3A71D1">
      <w:pPr>
        <w:spacing w:line="640" w:lineRule="exact"/>
        <w:ind w:firstLine="640" w:firstLineChars="200"/>
        <w:rPr>
          <w:rFonts w:ascii="仿宋" w:hAnsi="仿宋" w:eastAsia="仿宋" w:cs="仿宋"/>
          <w:sz w:val="32"/>
          <w:szCs w:val="32"/>
        </w:rPr>
      </w:pPr>
      <w:r>
        <w:rPr>
          <w:rFonts w:hint="eastAsia" w:ascii="楷体_GB2312" w:hAnsi="楷体" w:eastAsia="楷体_GB2312" w:cs="楷体"/>
          <w:sz w:val="32"/>
          <w:szCs w:val="32"/>
        </w:rPr>
        <w:t>（三）完善相关配套设施。</w:t>
      </w:r>
      <w:r>
        <w:rPr>
          <w:rFonts w:hint="eastAsia" w:ascii="仿宋" w:hAnsi="仿宋" w:eastAsia="仿宋" w:cs="仿宋"/>
          <w:sz w:val="32"/>
          <w:szCs w:val="32"/>
        </w:rPr>
        <w:t>拆除小区违法建设，本着宜居、宜养、绿色、便民的原则，因地制宜，整治小区绿化、亮化设施，建设小区及周边适老设施、停车位、电动车及汽车充电设施、文化休闲设施、体育健身设施、物业用房、智能快件箱等配套设施。</w:t>
      </w:r>
    </w:p>
    <w:p w14:paraId="5374496E">
      <w:pPr>
        <w:spacing w:line="640" w:lineRule="exact"/>
        <w:ind w:firstLine="640" w:firstLineChars="200"/>
        <w:rPr>
          <w:rFonts w:ascii="仿宋" w:hAnsi="仿宋" w:eastAsia="仿宋" w:cs="仿宋"/>
          <w:sz w:val="32"/>
          <w:szCs w:val="32"/>
        </w:rPr>
      </w:pPr>
      <w:r>
        <w:rPr>
          <w:rFonts w:hint="eastAsia" w:ascii="楷体_GB2312" w:hAnsi="楷体" w:eastAsia="楷体_GB2312" w:cs="楷体"/>
          <w:sz w:val="32"/>
          <w:szCs w:val="32"/>
        </w:rPr>
        <w:t>（四）建立长效管理机制。</w:t>
      </w:r>
      <w:r>
        <w:rPr>
          <w:rFonts w:hint="eastAsia" w:ascii="仿宋" w:hAnsi="仿宋" w:eastAsia="仿宋" w:cs="仿宋"/>
          <w:sz w:val="32"/>
          <w:szCs w:val="32"/>
        </w:rPr>
        <w:t>党建引领，完善业主委员会建设，动员物业企业参与，引导居民协商确定改造后小区的管理模式、管理规约及业主议事规则，形成长效机制，共同维护改造成果。建立老旧小区住宅专项维修资金归集、使用、续筹机制，促进小区改造后维护更新步入良性轨道。</w:t>
      </w:r>
    </w:p>
    <w:p w14:paraId="399EE90D">
      <w:pPr>
        <w:ind w:firstLine="640" w:firstLineChars="200"/>
        <w:rPr>
          <w:rFonts w:ascii="Times New Roman" w:hAnsi="Times New Roman" w:eastAsia="仿宋_GB2312"/>
          <w:sz w:val="32"/>
          <w:szCs w:val="32"/>
        </w:rPr>
      </w:pPr>
      <w:r>
        <w:rPr>
          <w:rFonts w:hint="eastAsia" w:ascii="楷体_GB2312" w:hAnsi="楷体" w:eastAsia="楷体_GB2312" w:cs="楷体"/>
          <w:sz w:val="32"/>
          <w:szCs w:val="32"/>
        </w:rPr>
        <w:t>(五)清理改后小区“飞线”。</w:t>
      </w:r>
      <w:r>
        <w:rPr>
          <w:rFonts w:hint="eastAsia" w:ascii="仿宋" w:hAnsi="仿宋" w:eastAsia="仿宋" w:cs="仿宋"/>
          <w:sz w:val="32"/>
          <w:szCs w:val="32"/>
        </w:rPr>
        <w:t>改造后小区“飞线”问题，社会关注，亟待解决，宜将小区“飞线”治理工作列入2005年民生实事项目。建议政企联合，尽快制定解决方案，</w:t>
      </w:r>
      <w:r>
        <w:rPr>
          <w:rFonts w:hint="eastAsia" w:ascii="Times New Roman" w:hAnsi="Times New Roman" w:eastAsia="仿宋_GB2312"/>
          <w:sz w:val="32"/>
          <w:szCs w:val="32"/>
        </w:rPr>
        <w:t>农电、移动、联通、电信、有线电视等相关部门，宜及早实地勘察，制定施工设计和改造方案。</w:t>
      </w:r>
    </w:p>
    <w:p w14:paraId="5FC5378D">
      <w:pPr>
        <w:ind w:firstLine="640" w:firstLineChars="200"/>
        <w:rPr>
          <w:rFonts w:ascii="Times New Roman" w:hAnsi="Times New Roman" w:eastAsia="仿宋_GB2312"/>
          <w:sz w:val="32"/>
          <w:szCs w:val="32"/>
        </w:rPr>
      </w:pPr>
      <w:r>
        <w:rPr>
          <w:rFonts w:hint="eastAsia" w:ascii="楷体_GB2312" w:hAnsi="楷体" w:eastAsia="楷体_GB2312" w:cs="楷体"/>
          <w:sz w:val="32"/>
          <w:szCs w:val="32"/>
        </w:rPr>
        <w:t>（六）加强舆论宣传引导。</w:t>
      </w:r>
      <w:r>
        <w:rPr>
          <w:rFonts w:hint="eastAsia" w:ascii="Times New Roman" w:hAnsi="Times New Roman" w:eastAsia="仿宋_GB2312"/>
          <w:sz w:val="32"/>
          <w:szCs w:val="32"/>
        </w:rPr>
        <w:t>加大对优秀项目、典型案例的宣传力度，提高社会各界对老旧小区改造的认识，着力引导群众转变观念，变“要我改”为“我要改”，形成社会各界支持、群众积极参与的浓厚氛围。要准确解读城镇老旧小区改造政策措施，及时回应社会关切。</w:t>
      </w:r>
    </w:p>
    <w:p w14:paraId="055B7BBF">
      <w:pPr>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提案编号：060</w:t>
      </w:r>
    </w:p>
    <w:p w14:paraId="06487AFF">
      <w:pPr>
        <w:spacing w:line="560" w:lineRule="exact"/>
        <w:ind w:left="1600" w:hanging="1600" w:hangingChars="500"/>
        <w:jc w:val="left"/>
        <w:rPr>
          <w:rFonts w:ascii="楷体_GB2312" w:eastAsia="楷体_GB2312"/>
          <w:sz w:val="32"/>
          <w:szCs w:val="32"/>
        </w:rPr>
      </w:pPr>
      <w:r>
        <w:rPr>
          <w:rFonts w:hint="eastAsia" w:ascii="楷体_GB2312" w:hAnsi="方正楷体_GBK" w:eastAsia="楷体_GB2312" w:cs="方正楷体_GBK"/>
          <w:sz w:val="32"/>
          <w:szCs w:val="32"/>
        </w:rPr>
        <w:t>提案名称：</w:t>
      </w:r>
      <w:r>
        <w:rPr>
          <w:rFonts w:hint="eastAsia" w:ascii="楷体_GB2312" w:eastAsia="楷体_GB2312"/>
          <w:sz w:val="32"/>
          <w:szCs w:val="32"/>
        </w:rPr>
        <w:t>关于完善社区“嵌入式”服务促进群众“幸福感”提升的提案</w:t>
      </w:r>
    </w:p>
    <w:p w14:paraId="468D2C9D">
      <w:pPr>
        <w:spacing w:line="560" w:lineRule="exact"/>
        <w:rPr>
          <w:rFonts w:ascii="楷体_GB2312" w:eastAsia="楷体_GB2312"/>
          <w:sz w:val="32"/>
          <w:szCs w:val="32"/>
        </w:rPr>
      </w:pPr>
      <w:r>
        <w:rPr>
          <w:rFonts w:hint="eastAsia" w:ascii="楷体_GB2312" w:hAnsi="方正楷体_GBK" w:eastAsia="楷体_GB2312" w:cs="方正楷体_GBK"/>
          <w:sz w:val="32"/>
          <w:szCs w:val="32"/>
        </w:rPr>
        <w:t>提 案 人：刘晓光</w:t>
      </w:r>
    </w:p>
    <w:p w14:paraId="5A5E49C4">
      <w:pPr>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联系方式：13190927037</w:t>
      </w:r>
    </w:p>
    <w:p w14:paraId="1829FB3B">
      <w:pPr>
        <w:rPr>
          <w:rFonts w:ascii="楷体_GB2312" w:hAnsi="方正楷体_GBK" w:eastAsia="楷体_GB2312" w:cs="方正楷体_GBK"/>
          <w:sz w:val="32"/>
          <w:szCs w:val="32"/>
        </w:rPr>
      </w:pPr>
      <w:r>
        <w:rPr>
          <w:rFonts w:hint="eastAsia" w:ascii="楷体_GB2312" w:hAnsi="方正楷体_GBK" w:eastAsia="楷体_GB2312" w:cs="方正楷体_GBK"/>
          <w:sz w:val="32"/>
          <w:szCs w:val="32"/>
        </w:rPr>
        <w:t>界    别：妇女联合会</w:t>
      </w:r>
    </w:p>
    <w:p w14:paraId="4F4642DA">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关于完善社区“嵌入式”服务促进群众“幸福感”提升的提案</w:t>
      </w:r>
    </w:p>
    <w:p w14:paraId="4FCD1BEF">
      <w:pPr>
        <w:spacing w:line="560" w:lineRule="exact"/>
        <w:jc w:val="center"/>
        <w:rPr>
          <w:rFonts w:ascii="楷体_GB2312" w:hAnsi="楷体_GB2312" w:eastAsia="楷体_GB2312" w:cs="楷体_GB2312"/>
          <w:sz w:val="32"/>
          <w:szCs w:val="32"/>
        </w:rPr>
      </w:pPr>
    </w:p>
    <w:p w14:paraId="43DFE475">
      <w:pPr>
        <w:spacing w:line="560" w:lineRule="exact"/>
        <w:ind w:firstLine="640" w:firstLineChars="200"/>
        <w:rPr>
          <w:rFonts w:ascii="仿宋_GB2312" w:eastAsia="仿宋_GB2312"/>
          <w:sz w:val="32"/>
          <w:szCs w:val="32"/>
        </w:rPr>
      </w:pPr>
      <w:r>
        <w:rPr>
          <w:rFonts w:hint="eastAsia" w:ascii="仿宋_GB2312" w:eastAsia="仿宋_GB2312"/>
          <w:sz w:val="32"/>
          <w:szCs w:val="32"/>
        </w:rPr>
        <w:t>社区是城市治理和服务治理的基本单元。随着社会的进步和发展，能否使群众在“家门口”享受到方便快捷的公共服务，满足人民对美好生活的向往，不仅是“关键小事”，更是“民生大事”。以龙泉社区为例，社区常住人口将近5000人，60岁以上老年人近1200人，占总人口24%。由于龙泉社区是典型的老旧小区，人口以低收入老年人和农村陪读的暂住人口居多，健康养老与服务，一直是关乎民生的老大难问题。而推行社区“嵌入式”服务，可以让群众在“家门口”享受便利周到的服务，实现养老托育“离家不离温暖”。</w:t>
      </w:r>
    </w:p>
    <w:p w14:paraId="0FBFD6BC">
      <w:pPr>
        <w:spacing w:line="560" w:lineRule="exact"/>
        <w:ind w:firstLine="640" w:firstLineChars="200"/>
        <w:rPr>
          <w:rFonts w:eastAsia="黑体"/>
          <w:sz w:val="32"/>
          <w:szCs w:val="32"/>
        </w:rPr>
      </w:pPr>
      <w:r>
        <w:rPr>
          <w:rFonts w:hint="eastAsia" w:eastAsia="黑体"/>
          <w:sz w:val="32"/>
          <w:szCs w:val="32"/>
        </w:rPr>
        <w:t>一、</w:t>
      </w:r>
      <w:r>
        <w:rPr>
          <w:rFonts w:eastAsia="黑体"/>
          <w:sz w:val="32"/>
          <w:szCs w:val="32"/>
        </w:rPr>
        <w:t>“嵌入式”服务存在</w:t>
      </w:r>
      <w:r>
        <w:rPr>
          <w:rFonts w:hint="eastAsia" w:eastAsia="黑体"/>
          <w:sz w:val="32"/>
          <w:szCs w:val="32"/>
        </w:rPr>
        <w:t>的难点和问题</w:t>
      </w:r>
    </w:p>
    <w:p w14:paraId="67C11BD7">
      <w:pPr>
        <w:spacing w:line="560" w:lineRule="exact"/>
        <w:ind w:firstLine="643" w:firstLineChars="200"/>
        <w:rPr>
          <w:rFonts w:ascii="仿宋_GB2312" w:eastAsia="仿宋_GB2312"/>
          <w:sz w:val="32"/>
          <w:szCs w:val="32"/>
        </w:rPr>
      </w:pPr>
      <w:r>
        <w:rPr>
          <w:rFonts w:hint="eastAsia" w:ascii="仿宋_GB2312" w:eastAsia="仿宋_GB2312"/>
          <w:b/>
          <w:sz w:val="32"/>
          <w:szCs w:val="32"/>
        </w:rPr>
        <w:t>一是</w:t>
      </w:r>
      <w:r>
        <w:rPr>
          <w:rFonts w:hint="eastAsia" w:ascii="仿宋_GB2312" w:eastAsia="仿宋_GB2312"/>
          <w:sz w:val="32"/>
          <w:szCs w:val="32"/>
        </w:rPr>
        <w:t>资源整合难度高。“嵌入式”服务对整合周边资源的能力要求较高，比如地理位置、医疗资源、资金支持、基础建设、人员服务等多个方面，需要各单位、各部门和社会各界的相互配合，而且还要充分考虑各社区的实际情况，全面周到规划设计、因地制宜组织实施。</w:t>
      </w:r>
    </w:p>
    <w:p w14:paraId="1F75D0DC">
      <w:pPr>
        <w:spacing w:line="560" w:lineRule="exact"/>
        <w:ind w:firstLine="643" w:firstLineChars="200"/>
        <w:rPr>
          <w:rFonts w:ascii="仿宋_GB2312" w:eastAsia="仿宋_GB2312"/>
          <w:sz w:val="32"/>
          <w:szCs w:val="32"/>
        </w:rPr>
      </w:pPr>
      <w:r>
        <w:rPr>
          <w:rFonts w:hint="eastAsia" w:ascii="仿宋_GB2312" w:eastAsia="仿宋_GB2312"/>
          <w:b/>
          <w:sz w:val="32"/>
          <w:szCs w:val="32"/>
        </w:rPr>
        <w:t>二是</w:t>
      </w:r>
      <w:r>
        <w:rPr>
          <w:rFonts w:hint="eastAsia" w:ascii="仿宋_GB2312" w:eastAsia="仿宋_GB2312"/>
          <w:sz w:val="32"/>
          <w:szCs w:val="32"/>
        </w:rPr>
        <w:t>机构运营压力大。“社区公益食堂”“康复理疗中心”等“嵌入式”服务多以半公益服务为主，引进专业机构第三方合作运营后，第三方需要解决资金投入、人员工资、日常运转等实际问题，如何做好三方投入与政府补贴的有效对接，确保机构稳步运营、正常运转，是必须面对和思考的问题。</w:t>
      </w:r>
    </w:p>
    <w:p w14:paraId="6167B888">
      <w:pPr>
        <w:spacing w:line="560" w:lineRule="exact"/>
        <w:ind w:firstLine="643" w:firstLineChars="200"/>
        <w:rPr>
          <w:rFonts w:ascii="仿宋_GB2312" w:eastAsia="仿宋_GB2312"/>
          <w:sz w:val="32"/>
          <w:szCs w:val="32"/>
        </w:rPr>
      </w:pPr>
      <w:r>
        <w:rPr>
          <w:rFonts w:hint="eastAsia" w:ascii="仿宋_GB2312" w:eastAsia="仿宋_GB2312"/>
          <w:b/>
          <w:sz w:val="32"/>
          <w:szCs w:val="32"/>
        </w:rPr>
        <w:t>三是</w:t>
      </w:r>
      <w:r>
        <w:rPr>
          <w:rFonts w:hint="eastAsia" w:ascii="仿宋_GB2312" w:eastAsia="仿宋_GB2312"/>
          <w:sz w:val="32"/>
          <w:szCs w:val="32"/>
        </w:rPr>
        <w:t>专业性人员不足。“嵌入式”社区服务，需要具备在饮食调配、医疗护理、情绪调节、应急处理等各个方面有一定专业性的人员。目前我旗社区工作人员中专业化人员缺乏、专业化培训不够，同时存在健康证、医疗执业资格证等专业资格取证难的问题，全方面的专业化人才不足，难以满足“嵌入式”服务需求。</w:t>
      </w:r>
    </w:p>
    <w:p w14:paraId="61E69F11">
      <w:pPr>
        <w:spacing w:line="560" w:lineRule="exact"/>
        <w:ind w:firstLine="643" w:firstLineChars="200"/>
        <w:rPr>
          <w:rFonts w:ascii="仿宋_GB2312" w:eastAsia="仿宋_GB2312"/>
          <w:sz w:val="32"/>
          <w:szCs w:val="32"/>
        </w:rPr>
      </w:pPr>
      <w:r>
        <w:rPr>
          <w:rFonts w:hint="eastAsia" w:ascii="仿宋_GB2312" w:eastAsia="仿宋_GB2312"/>
          <w:b/>
          <w:sz w:val="32"/>
          <w:szCs w:val="32"/>
        </w:rPr>
        <w:t>四是</w:t>
      </w:r>
      <w:r>
        <w:rPr>
          <w:rFonts w:hint="eastAsia" w:ascii="仿宋_GB2312" w:eastAsia="仿宋_GB2312"/>
          <w:sz w:val="32"/>
          <w:szCs w:val="32"/>
        </w:rPr>
        <w:t>规范化服务不够。“嵌入式”服务主要是为社区的老年人提供养老托育、社区助餐、家政便民、健康服务等一种或多种服务。目前国家没有出台相应标准，加之“社区公益食堂”和“康复理疗中心”等运营机构分散经营，规范化程度不高、全方位监管不够等问题导致服务质量“大打折扣”。</w:t>
      </w:r>
    </w:p>
    <w:p w14:paraId="501B52EE">
      <w:pPr>
        <w:spacing w:line="560" w:lineRule="exact"/>
        <w:ind w:firstLine="640" w:firstLineChars="200"/>
        <w:rPr>
          <w:rFonts w:eastAsia="黑体"/>
          <w:sz w:val="32"/>
          <w:szCs w:val="32"/>
        </w:rPr>
      </w:pPr>
      <w:r>
        <w:rPr>
          <w:rFonts w:hint="eastAsia" w:eastAsia="黑体"/>
          <w:sz w:val="32"/>
          <w:szCs w:val="32"/>
        </w:rPr>
        <w:t>二、完善社区“嵌入式”服务的几点建议</w:t>
      </w:r>
    </w:p>
    <w:p w14:paraId="7A8CD3F5">
      <w:pPr>
        <w:spacing w:line="560" w:lineRule="exact"/>
        <w:ind w:firstLine="643" w:firstLineChars="200"/>
        <w:rPr>
          <w:rFonts w:ascii="仿宋_GB2312" w:eastAsia="仿宋_GB2312"/>
          <w:sz w:val="32"/>
          <w:szCs w:val="32"/>
        </w:rPr>
      </w:pPr>
      <w:r>
        <w:rPr>
          <w:rFonts w:hint="eastAsia" w:ascii="仿宋_GB2312" w:eastAsia="仿宋_GB2312"/>
          <w:b/>
          <w:sz w:val="32"/>
          <w:szCs w:val="32"/>
        </w:rPr>
        <w:t>一是</w:t>
      </w:r>
      <w:r>
        <w:rPr>
          <w:rFonts w:hint="eastAsia" w:ascii="仿宋_GB2312" w:eastAsia="仿宋_GB2312"/>
          <w:sz w:val="32"/>
          <w:szCs w:val="32"/>
        </w:rPr>
        <w:t>强化需求导向，优化城市功能。从实行“嵌入式”服务，方便居家养老的角度讲，建议街道、社区在统一规划的基础上，根据老年人口分布情况和服务需求，对社区资源、养老服务、公共设施和社会资源进行整合，有序推进、分步骤实施。龙泉社区借助老旧小区改造之机，在相关部门的大力支持下，在15号楼前小广场规划了一个小型菜市场，以方便居民购买新鲜便宜蔬菜，但由于资金缺乏、设施不完善等，导致市场商户入住率低，作用发挥不明显。如果能得到资金支持和设施完善，这一便民服务将极大方便群众，既有“城市风景”，更具“烟火气息”。探索和实施爱心力量与公益食堂对接，盘活各类闲置国有资产，通过公益租赁、合作共建、引进第三方机构等方式，探索将使用权转移属地社区，形成分布广、层面宽、站点多的“嵌入式”服务。</w:t>
      </w:r>
    </w:p>
    <w:p w14:paraId="19D86E33">
      <w:pPr>
        <w:spacing w:line="560" w:lineRule="exact"/>
        <w:ind w:firstLine="643" w:firstLineChars="200"/>
        <w:rPr>
          <w:rFonts w:ascii="仿宋_GB2312" w:eastAsia="仿宋_GB2312"/>
          <w:sz w:val="32"/>
          <w:szCs w:val="32"/>
        </w:rPr>
      </w:pPr>
      <w:r>
        <w:rPr>
          <w:rFonts w:hint="eastAsia" w:ascii="仿宋_GB2312" w:eastAsia="仿宋_GB2312"/>
          <w:b/>
          <w:sz w:val="32"/>
          <w:szCs w:val="32"/>
        </w:rPr>
        <w:t>二是</w:t>
      </w:r>
      <w:r>
        <w:rPr>
          <w:rFonts w:hint="eastAsia" w:ascii="仿宋_GB2312" w:eastAsia="仿宋_GB2312"/>
          <w:sz w:val="32"/>
          <w:szCs w:val="32"/>
        </w:rPr>
        <w:t>优化政策扶持，回应群众期盼</w:t>
      </w:r>
      <w:r>
        <w:rPr>
          <w:rFonts w:eastAsia="楷体_GB2312"/>
          <w:sz w:val="32"/>
          <w:szCs w:val="32"/>
        </w:rPr>
        <w:t>。</w:t>
      </w:r>
      <w:r>
        <w:rPr>
          <w:rFonts w:hint="eastAsia" w:ascii="仿宋_GB2312" w:eastAsia="仿宋_GB2312"/>
          <w:sz w:val="32"/>
          <w:szCs w:val="32"/>
        </w:rPr>
        <w:t>建议有关职能部门根据上级政策和我旗实际，给予社区“嵌入式”服务奖补政策，统筹完善社区嵌入式服务机构的行业准入准营政策，鼓励、推进公益养老服务建设，普惠养老服务。当然，要想在全旗推广满足“面广”“量大”的公共社区“嵌入式”服务，仅靠政府补助是不够的，还需用足、用好社会各类慈善资源，发挥各类金融机构作用，按照市场化原则为符合条件的社区嵌入式服务设施建设项目提供支持，同时广泛动员热心企业、爱心人士和社会组织参与进来，为公益事业添砖加瓦。</w:t>
      </w:r>
    </w:p>
    <w:p w14:paraId="6D248F62">
      <w:pPr>
        <w:spacing w:line="560" w:lineRule="exact"/>
        <w:ind w:firstLine="643" w:firstLineChars="200"/>
        <w:rPr>
          <w:rFonts w:ascii="仿宋_GB2312" w:eastAsia="仿宋_GB2312"/>
          <w:sz w:val="32"/>
          <w:szCs w:val="32"/>
        </w:rPr>
      </w:pPr>
      <w:r>
        <w:rPr>
          <w:rFonts w:hint="eastAsia" w:ascii="仿宋_GB2312" w:eastAsia="仿宋_GB2312"/>
          <w:b/>
          <w:sz w:val="32"/>
          <w:szCs w:val="32"/>
        </w:rPr>
        <w:t>三是</w:t>
      </w:r>
      <w:r>
        <w:rPr>
          <w:rFonts w:hint="eastAsia" w:ascii="仿宋_GB2312" w:eastAsia="仿宋_GB2312"/>
          <w:sz w:val="32"/>
          <w:szCs w:val="32"/>
        </w:rPr>
        <w:t>拓展服务内涵，提升服务质量。“嵌入式”服务既要针对居民需求，做到优质服务、合理全面，又要整合社区文明实践等各类资源，搭建邻里交流、志愿服务、网络配送等平台，建立全兼职志愿服务队伍，为高龄病残、行动不便等人员上门服务，将“嵌入式”社区服务与新时代文明实践全面融合、质效升级。同时以未来社区建设为契机，强化数字赋能，有效链接社区居家养老服务信息和老年人养老需求，推动医养结合服务向社区延伸。加快社区适老化改造，推进小区护理站、健康智慧站等设施建设。</w:t>
      </w:r>
    </w:p>
    <w:p w14:paraId="608EE48A">
      <w:pPr>
        <w:spacing w:line="560" w:lineRule="exact"/>
        <w:ind w:firstLine="643" w:firstLineChars="200"/>
        <w:rPr>
          <w:rFonts w:ascii="仿宋_GB2312" w:eastAsia="仿宋_GB2312"/>
          <w:sz w:val="32"/>
          <w:szCs w:val="32"/>
        </w:rPr>
      </w:pPr>
      <w:r>
        <w:rPr>
          <w:rFonts w:hint="eastAsia" w:ascii="仿宋_GB2312" w:eastAsia="仿宋_GB2312"/>
          <w:b/>
          <w:sz w:val="32"/>
          <w:szCs w:val="32"/>
        </w:rPr>
        <w:t>四是</w:t>
      </w:r>
      <w:r>
        <w:rPr>
          <w:rFonts w:hint="eastAsia" w:ascii="仿宋_GB2312" w:eastAsia="仿宋_GB2312"/>
          <w:sz w:val="32"/>
          <w:szCs w:val="32"/>
        </w:rPr>
        <w:t>规范运营管理，打造共治格局。从规范层面统一管理制度，建立民政、市场监督、卫健等部门联合工作机制，加强“公益食堂”“康复理疗中心”等日常监管。加强对在职人员培训，提高服务人员整体素质。细化社区养老服务标准、收费方式和运营监管。</w:t>
      </w:r>
    </w:p>
    <w:p w14:paraId="4648541C">
      <w:pPr>
        <w:spacing w:line="560" w:lineRule="exact"/>
        <w:ind w:firstLine="640" w:firstLineChars="200"/>
        <w:rPr>
          <w:rFonts w:ascii="仿宋_GB2312" w:eastAsia="仿宋_GB2312"/>
          <w:sz w:val="32"/>
          <w:szCs w:val="32"/>
        </w:rPr>
      </w:pPr>
      <w:r>
        <w:rPr>
          <w:rFonts w:hint="eastAsia" w:ascii="仿宋_GB2312" w:eastAsia="仿宋_GB2312"/>
          <w:sz w:val="32"/>
          <w:szCs w:val="32"/>
        </w:rPr>
        <w:t>社区“嵌入式”服务需要全面参与到社区管理和服务中来，是融合和服务的结合体，需要全社会的参与，形成政府、企业、社区、志愿者、社会组织、公益资源、社区居民多元共治格局，着力打造以居民为核心、以需求为目标、以服务为标准的多元养老模式，才能真正做到社区更有温度、城市更有热度。</w:t>
      </w:r>
    </w:p>
    <w:p w14:paraId="3FF9F010">
      <w:pPr>
        <w:rPr>
          <w:rFonts w:ascii="仿宋_GB2312" w:eastAsia="仿宋_GB2312"/>
        </w:rPr>
      </w:pPr>
    </w:p>
    <w:p w14:paraId="342818B2">
      <w:pPr>
        <w:spacing w:line="600" w:lineRule="exact"/>
        <w:rPr>
          <w:rFonts w:ascii="楷体_GB2312" w:hAnsi="楷体" w:eastAsia="楷体_GB2312" w:cs="楷体"/>
          <w:sz w:val="32"/>
          <w:szCs w:val="32"/>
        </w:rPr>
      </w:pPr>
    </w:p>
    <w:p w14:paraId="722A43B8">
      <w:pPr>
        <w:spacing w:line="600" w:lineRule="exact"/>
        <w:rPr>
          <w:rFonts w:ascii="楷体_GB2312" w:hAnsi="楷体" w:eastAsia="楷体_GB2312" w:cs="楷体"/>
          <w:sz w:val="32"/>
          <w:szCs w:val="32"/>
        </w:rPr>
      </w:pPr>
    </w:p>
    <w:p w14:paraId="721944DB">
      <w:pPr>
        <w:spacing w:line="600" w:lineRule="exact"/>
        <w:rPr>
          <w:rFonts w:ascii="楷体_GB2312" w:hAnsi="楷体" w:eastAsia="楷体_GB2312" w:cs="楷体"/>
          <w:sz w:val="32"/>
          <w:szCs w:val="32"/>
        </w:rPr>
      </w:pPr>
    </w:p>
    <w:p w14:paraId="29FD4C09">
      <w:pPr>
        <w:spacing w:line="600" w:lineRule="exact"/>
        <w:rPr>
          <w:rFonts w:ascii="楷体_GB2312" w:hAnsi="楷体" w:eastAsia="楷体_GB2312" w:cs="楷体"/>
          <w:sz w:val="32"/>
          <w:szCs w:val="32"/>
        </w:rPr>
      </w:pPr>
    </w:p>
    <w:p w14:paraId="12B4446D">
      <w:pPr>
        <w:spacing w:line="600" w:lineRule="exact"/>
        <w:rPr>
          <w:rFonts w:ascii="楷体_GB2312" w:hAnsi="楷体" w:eastAsia="楷体_GB2312" w:cs="楷体"/>
          <w:sz w:val="32"/>
          <w:szCs w:val="32"/>
        </w:rPr>
      </w:pPr>
    </w:p>
    <w:p w14:paraId="0DEBC478">
      <w:pPr>
        <w:spacing w:line="600" w:lineRule="exact"/>
        <w:rPr>
          <w:rFonts w:ascii="楷体_GB2312" w:hAnsi="楷体" w:eastAsia="楷体_GB2312" w:cs="楷体"/>
          <w:sz w:val="32"/>
          <w:szCs w:val="32"/>
        </w:rPr>
      </w:pPr>
    </w:p>
    <w:p w14:paraId="04756E5F">
      <w:pPr>
        <w:spacing w:line="600" w:lineRule="exact"/>
        <w:rPr>
          <w:rFonts w:ascii="楷体_GB2312" w:hAnsi="楷体" w:eastAsia="楷体_GB2312" w:cs="楷体"/>
          <w:sz w:val="32"/>
          <w:szCs w:val="32"/>
        </w:rPr>
      </w:pPr>
    </w:p>
    <w:p w14:paraId="7F7AC147">
      <w:pPr>
        <w:spacing w:line="600" w:lineRule="exact"/>
        <w:rPr>
          <w:rFonts w:ascii="楷体_GB2312" w:hAnsi="楷体" w:eastAsia="楷体_GB2312" w:cs="楷体"/>
          <w:sz w:val="32"/>
          <w:szCs w:val="32"/>
        </w:rPr>
      </w:pPr>
    </w:p>
    <w:p w14:paraId="43BD14C9">
      <w:pPr>
        <w:spacing w:line="600" w:lineRule="exact"/>
        <w:rPr>
          <w:rFonts w:ascii="楷体_GB2312" w:hAnsi="楷体" w:eastAsia="楷体_GB2312" w:cs="楷体"/>
          <w:sz w:val="32"/>
          <w:szCs w:val="32"/>
        </w:rPr>
      </w:pPr>
    </w:p>
    <w:p w14:paraId="31FCA6AD">
      <w:pPr>
        <w:spacing w:line="600" w:lineRule="exact"/>
        <w:rPr>
          <w:rFonts w:ascii="楷体_GB2312" w:hAnsi="楷体" w:eastAsia="楷体_GB2312" w:cs="楷体"/>
          <w:sz w:val="32"/>
          <w:szCs w:val="32"/>
        </w:rPr>
      </w:pPr>
    </w:p>
    <w:p w14:paraId="00FFABB3">
      <w:pPr>
        <w:spacing w:line="600" w:lineRule="exact"/>
        <w:rPr>
          <w:rFonts w:ascii="楷体_GB2312" w:hAnsi="楷体" w:eastAsia="楷体_GB2312" w:cs="楷体"/>
          <w:sz w:val="32"/>
          <w:szCs w:val="32"/>
        </w:rPr>
      </w:pPr>
    </w:p>
    <w:p w14:paraId="60BD63F4">
      <w:pPr>
        <w:spacing w:line="600" w:lineRule="exact"/>
        <w:rPr>
          <w:rFonts w:ascii="楷体_GB2312" w:hAnsi="楷体" w:eastAsia="楷体_GB2312" w:cs="楷体"/>
          <w:sz w:val="32"/>
          <w:szCs w:val="32"/>
        </w:rPr>
      </w:pPr>
    </w:p>
    <w:p w14:paraId="50144942">
      <w:pPr>
        <w:spacing w:line="600" w:lineRule="exact"/>
        <w:rPr>
          <w:rFonts w:ascii="楷体_GB2312" w:hAnsi="楷体" w:eastAsia="楷体_GB2312" w:cs="楷体"/>
          <w:sz w:val="32"/>
          <w:szCs w:val="32"/>
        </w:rPr>
      </w:pPr>
      <w:r>
        <w:rPr>
          <w:rFonts w:hint="eastAsia" w:ascii="楷体_GB2312" w:hAnsi="楷体" w:eastAsia="楷体_GB2312" w:cs="楷体"/>
          <w:sz w:val="32"/>
          <w:szCs w:val="32"/>
        </w:rPr>
        <w:t>提案</w:t>
      </w:r>
      <w:r>
        <w:rPr>
          <w:rFonts w:hint="eastAsia" w:ascii="楷体_GB2312" w:hAnsi="楷体" w:eastAsia="楷体_GB2312" w:cs="楷体"/>
          <w:bCs/>
          <w:sz w:val="32"/>
          <w:szCs w:val="32"/>
        </w:rPr>
        <w:t>编号：061</w:t>
      </w:r>
    </w:p>
    <w:p w14:paraId="5440EB93">
      <w:pPr>
        <w:spacing w:line="600" w:lineRule="exact"/>
        <w:ind w:left="1600" w:hanging="1600" w:hangingChars="500"/>
        <w:jc w:val="left"/>
        <w:rPr>
          <w:rFonts w:ascii="楷体_GB2312" w:hAnsi="方正小标宋简体" w:eastAsia="楷体_GB2312" w:cs="方正小标宋简体"/>
          <w:bCs/>
          <w:sz w:val="32"/>
          <w:szCs w:val="32"/>
        </w:rPr>
      </w:pPr>
      <w:r>
        <w:rPr>
          <w:rFonts w:hint="eastAsia" w:ascii="楷体_GB2312" w:hAnsi="楷体" w:eastAsia="楷体_GB2312" w:cs="楷体"/>
          <w:sz w:val="32"/>
          <w:szCs w:val="32"/>
        </w:rPr>
        <w:t>提案</w:t>
      </w:r>
      <w:r>
        <w:rPr>
          <w:rFonts w:hint="eastAsia" w:ascii="楷体_GB2312" w:hAnsi="楷体" w:eastAsia="楷体_GB2312" w:cs="楷体"/>
          <w:bCs/>
          <w:sz w:val="32"/>
          <w:szCs w:val="32"/>
        </w:rPr>
        <w:t>名称：</w:t>
      </w:r>
      <w:r>
        <w:rPr>
          <w:rFonts w:hint="eastAsia" w:ascii="楷体_GB2312" w:hAnsi="方正小标宋简体" w:eastAsia="楷体_GB2312" w:cs="方正小标宋简体"/>
          <w:bCs/>
          <w:sz w:val="32"/>
          <w:szCs w:val="32"/>
        </w:rPr>
        <w:t>关于优化坤都营子通往西桥方向的十字口交通设施的提案</w:t>
      </w:r>
    </w:p>
    <w:p w14:paraId="344DB865">
      <w:pPr>
        <w:spacing w:line="600" w:lineRule="exact"/>
        <w:rPr>
          <w:rFonts w:ascii="楷体_GB2312" w:hAnsi="楷体" w:eastAsia="楷体_GB2312" w:cs="楷体"/>
          <w:sz w:val="32"/>
          <w:szCs w:val="32"/>
        </w:rPr>
      </w:pPr>
      <w:r>
        <w:rPr>
          <w:rFonts w:hint="eastAsia" w:ascii="楷体_GB2312" w:hAnsi="楷体" w:eastAsia="楷体_GB2312" w:cs="楷体"/>
          <w:sz w:val="32"/>
          <w:szCs w:val="32"/>
        </w:rPr>
        <w:t xml:space="preserve">提 案 </w:t>
      </w:r>
      <w:r>
        <w:rPr>
          <w:rFonts w:hint="eastAsia" w:ascii="楷体_GB2312" w:hAnsi="楷体" w:eastAsia="楷体_GB2312" w:cs="楷体"/>
          <w:bCs/>
          <w:sz w:val="32"/>
          <w:szCs w:val="32"/>
        </w:rPr>
        <w:t>人</w:t>
      </w:r>
      <w:r>
        <w:rPr>
          <w:rFonts w:hint="eastAsia" w:ascii="楷体_GB2312" w:hAnsi="楷体" w:eastAsia="楷体_GB2312" w:cs="楷体"/>
          <w:sz w:val="32"/>
          <w:szCs w:val="32"/>
        </w:rPr>
        <w:t>：张鑫</w:t>
      </w:r>
    </w:p>
    <w:p w14:paraId="616E9002">
      <w:pPr>
        <w:spacing w:line="600" w:lineRule="exact"/>
        <w:rPr>
          <w:rFonts w:ascii="楷体_GB2312" w:hAnsi="楷体" w:eastAsia="楷体_GB2312" w:cs="楷体"/>
          <w:bCs/>
          <w:sz w:val="32"/>
          <w:szCs w:val="32"/>
        </w:rPr>
      </w:pPr>
      <w:r>
        <w:rPr>
          <w:rFonts w:hint="eastAsia" w:ascii="楷体_GB2312" w:hAnsi="楷体" w:eastAsia="楷体_GB2312" w:cs="楷体"/>
          <w:bCs/>
          <w:sz w:val="32"/>
          <w:szCs w:val="32"/>
        </w:rPr>
        <w:t>联</w:t>
      </w:r>
      <w:r>
        <w:rPr>
          <w:rFonts w:hint="eastAsia" w:ascii="楷体_GB2312" w:hAnsi="楷体" w:eastAsia="楷体_GB2312" w:cs="楷体"/>
          <w:sz w:val="32"/>
          <w:szCs w:val="32"/>
        </w:rPr>
        <w:t>系</w:t>
      </w:r>
      <w:r>
        <w:rPr>
          <w:rFonts w:hint="eastAsia" w:ascii="楷体_GB2312" w:hAnsi="楷体" w:eastAsia="楷体_GB2312" w:cs="楷体"/>
          <w:bCs/>
          <w:sz w:val="32"/>
          <w:szCs w:val="32"/>
        </w:rPr>
        <w:t>方式：</w:t>
      </w:r>
      <w:r>
        <w:rPr>
          <w:rFonts w:ascii="楷体_GB2312" w:hAnsi="楷体" w:eastAsia="楷体_GB2312" w:cs="楷体"/>
          <w:bCs/>
          <w:sz w:val="32"/>
          <w:szCs w:val="32"/>
        </w:rPr>
        <w:t>13734765492</w:t>
      </w:r>
    </w:p>
    <w:p w14:paraId="1521CCAB">
      <w:pPr>
        <w:spacing w:line="600" w:lineRule="exact"/>
        <w:rPr>
          <w:rFonts w:ascii="楷体_GB2312" w:hAnsi="楷体" w:eastAsia="楷体_GB2312" w:cs="楷体"/>
          <w:bCs/>
          <w:sz w:val="32"/>
          <w:szCs w:val="32"/>
        </w:rPr>
      </w:pPr>
      <w:r>
        <w:rPr>
          <w:rFonts w:hint="eastAsia" w:ascii="楷体_GB2312" w:hAnsi="楷体" w:eastAsia="楷体_GB2312" w:cs="楷体"/>
          <w:bCs/>
          <w:sz w:val="32"/>
          <w:szCs w:val="32"/>
        </w:rPr>
        <w:t>界    别：中国共产党</w:t>
      </w:r>
    </w:p>
    <w:p w14:paraId="24049CB8">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关于优化坤都营子通往西桥方向的十字口交通设施的提案</w:t>
      </w:r>
    </w:p>
    <w:p w14:paraId="4C5D7250">
      <w:pPr>
        <w:ind w:firstLine="640" w:firstLineChars="200"/>
        <w:jc w:val="left"/>
        <w:rPr>
          <w:rFonts w:ascii="楷体_GB2312" w:hAnsi="楷体_GB2312" w:eastAsia="楷体_GB2312" w:cs="楷体_GB2312"/>
          <w:sz w:val="32"/>
          <w:szCs w:val="32"/>
        </w:rPr>
      </w:pPr>
    </w:p>
    <w:p w14:paraId="2E1FDF1C">
      <w:pPr>
        <w:ind w:firstLine="640" w:firstLineChars="200"/>
        <w:jc w:val="left"/>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道路交通信号灯作为交通控制系统的关键一环，其科学合理的管控策略对疏堵保畅、防减事故意义重大。G306 国道通车后虽提升了区域连通效率，推动经济交流，但在坤都营子通往西桥方向与306国道的三交叉十字路口处，却暗藏隐患，亟待解决。</w:t>
      </w:r>
    </w:p>
    <w:p w14:paraId="40D5A87B">
      <w:pPr>
        <w:jc w:val="left"/>
        <w:rPr>
          <w:rFonts w:ascii="黑体" w:hAnsi="黑体" w:eastAsia="黑体" w:cs="Times New Roman"/>
          <w:bCs/>
          <w:sz w:val="32"/>
          <w:szCs w:val="32"/>
        </w:rPr>
      </w:pPr>
      <w:r>
        <w:rPr>
          <w:rFonts w:hint="eastAsia" w:ascii="黑体" w:hAnsi="黑体" w:eastAsia="黑体" w:cs="Times New Roman"/>
          <w:bCs/>
          <w:sz w:val="32"/>
          <w:szCs w:val="32"/>
        </w:rPr>
        <w:t>一、存在问题</w:t>
      </w:r>
    </w:p>
    <w:p w14:paraId="2A9B01B1">
      <w:pPr>
        <w:ind w:firstLine="640" w:firstLineChars="200"/>
        <w:jc w:val="left"/>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此路段为农村道路与国道衔接要点，也是喀喇沁与宁城交界要塞，南北向视线受阻严重，驾驶员视野存在盲区，难以预判对向来车，交通事故频发。比如，在2024年，一大车与电动三轮车发生碰撞，造成了一死一伤的严重后果。</w:t>
      </w:r>
    </w:p>
    <w:p w14:paraId="013C967D">
      <w:pPr>
        <w:jc w:val="left"/>
        <w:rPr>
          <w:rFonts w:ascii="黑体" w:hAnsi="黑体" w:eastAsia="黑体" w:cs="Times New Roman"/>
          <w:bCs/>
          <w:sz w:val="32"/>
          <w:szCs w:val="32"/>
        </w:rPr>
      </w:pPr>
      <w:r>
        <w:rPr>
          <w:rFonts w:hint="eastAsia" w:ascii="黑体" w:hAnsi="黑体" w:eastAsia="黑体" w:cs="Times New Roman"/>
          <w:bCs/>
          <w:sz w:val="32"/>
          <w:szCs w:val="32"/>
        </w:rPr>
        <w:t>二、</w:t>
      </w:r>
      <w:r>
        <w:rPr>
          <w:rFonts w:ascii="黑体" w:hAnsi="黑体" w:eastAsia="黑体" w:cs="Times New Roman"/>
          <w:bCs/>
          <w:sz w:val="32"/>
          <w:szCs w:val="32"/>
        </w:rPr>
        <w:t>建议</w:t>
      </w:r>
    </w:p>
    <w:p w14:paraId="75677888">
      <w:pPr>
        <w:ind w:firstLine="640" w:firstLineChars="200"/>
        <w:jc w:val="left"/>
        <w:rPr>
          <w:rFonts w:ascii="仿宋_GB2312" w:hAnsi="Times New Roman" w:eastAsia="仿宋_GB2312" w:cs="Times New Roman"/>
          <w:bCs/>
          <w:sz w:val="32"/>
          <w:szCs w:val="32"/>
        </w:rPr>
      </w:pPr>
      <w:r>
        <w:rPr>
          <w:rFonts w:hint="eastAsia" w:ascii="楷体_GB2312" w:hAnsi="Times New Roman" w:eastAsia="楷体_GB2312" w:cs="Times New Roman"/>
          <w:bCs/>
          <w:sz w:val="32"/>
          <w:szCs w:val="32"/>
        </w:rPr>
        <w:t>（一）智能信号灯管控。</w:t>
      </w:r>
      <w:r>
        <w:rPr>
          <w:rFonts w:hint="eastAsia" w:ascii="仿宋_GB2312" w:hAnsi="Times New Roman" w:eastAsia="仿宋_GB2312" w:cs="Times New Roman"/>
          <w:bCs/>
          <w:sz w:val="32"/>
          <w:szCs w:val="32"/>
        </w:rPr>
        <w:t>在该十字路口应立即规划建设交通信号灯系统，考虑到农村道路日常人车流量的时段特性，采用灵活控制模式。工作日早晚高峰时段，全面启用信号灯，依据各方向实时流量智能分配绿灯时长，确保有序快速通行；非高峰时段，切换为黄灯闪烁警示状态，提醒过往车辆减速慢行、注意观察。针对节假日、农忙等特殊节点，提前研判交通流变化，利用智能交通平台远程调控信号灯配时，实现精准疏导，降低事故风险。</w:t>
      </w:r>
    </w:p>
    <w:p w14:paraId="2F41C376">
      <w:pPr>
        <w:ind w:firstLine="640" w:firstLineChars="200"/>
        <w:jc w:val="left"/>
        <w:rPr>
          <w:rFonts w:ascii="仿宋_GB2312" w:hAnsi="Times New Roman" w:eastAsia="仿宋_GB2312" w:cs="Times New Roman"/>
          <w:bCs/>
          <w:sz w:val="32"/>
          <w:szCs w:val="32"/>
        </w:rPr>
      </w:pPr>
      <w:r>
        <w:rPr>
          <w:rFonts w:hint="eastAsia" w:ascii="楷体_GB2312" w:hAnsi="Times New Roman" w:eastAsia="楷体_GB2312" w:cs="Times New Roman"/>
          <w:bCs/>
          <w:sz w:val="32"/>
          <w:szCs w:val="32"/>
        </w:rPr>
        <w:t>（二）强制减速保障。</w:t>
      </w:r>
      <w:r>
        <w:rPr>
          <w:rFonts w:hint="eastAsia" w:ascii="仿宋_GB2312" w:hAnsi="Times New Roman" w:eastAsia="仿宋_GB2312" w:cs="Times New Roman"/>
          <w:bCs/>
          <w:sz w:val="32"/>
          <w:szCs w:val="32"/>
        </w:rPr>
        <w:t>恩州至贾家梁路段，车流量大、车速快，而村庄出入口车辆行人时有横穿，危险系数高。在国道该路段双向 150 米范围增设减速带，选用醒目、耐用的材质制作，配合设置提前预告的警示标识，以闪烁灯光、反光标志等多种形式增强视觉冲击，确保过往国道车辆提前足够距离减速，为支路汇入、行人横过创造安全缓冲空间。</w:t>
      </w:r>
    </w:p>
    <w:p w14:paraId="7219E84A">
      <w:pPr>
        <w:ind w:firstLine="640" w:firstLineChars="200"/>
        <w:jc w:val="left"/>
        <w:rPr>
          <w:rFonts w:ascii="仿宋_GB2312" w:hAnsi="Times New Roman" w:eastAsia="仿宋_GB2312" w:cs="Times New Roman"/>
          <w:bCs/>
          <w:sz w:val="32"/>
          <w:szCs w:val="32"/>
        </w:rPr>
      </w:pPr>
      <w:r>
        <w:rPr>
          <w:rFonts w:hint="eastAsia" w:ascii="楷体_GB2312" w:hAnsi="Times New Roman" w:eastAsia="楷体_GB2312" w:cs="Times New Roman"/>
          <w:bCs/>
          <w:sz w:val="32"/>
          <w:szCs w:val="32"/>
        </w:rPr>
        <w:t>（三）主次路通行优化。</w:t>
      </w:r>
      <w:r>
        <w:rPr>
          <w:rFonts w:hint="eastAsia" w:ascii="仿宋_GB2312" w:hAnsi="Times New Roman" w:eastAsia="仿宋_GB2312" w:cs="Times New Roman"/>
          <w:bCs/>
          <w:sz w:val="32"/>
          <w:szCs w:val="32"/>
        </w:rPr>
        <w:t>为保障 G306 国道主干道高效运行，对沿线信号灯配时精细调整。依据大数据分析各时段主干道与支路的车流量、流向规律，适当延长主干道绿灯时长，减少车辆连续等待周期，让车流快速通过；同时，合理缩短支路绿灯时长，避免支路空放、主干道拥堵，引导支路上的车辆和行人集中、有序通行，整体提升路段通行效率。</w:t>
      </w:r>
    </w:p>
    <w:p w14:paraId="627E9159">
      <w:pPr>
        <w:ind w:firstLine="640" w:firstLineChars="200"/>
        <w:jc w:val="left"/>
        <w:rPr>
          <w:rFonts w:ascii="仿宋_GB2312" w:hAnsi="Times New Roman" w:eastAsia="仿宋_GB2312" w:cs="Times New Roman"/>
          <w:bCs/>
          <w:sz w:val="32"/>
          <w:szCs w:val="32"/>
        </w:rPr>
      </w:pPr>
      <w:r>
        <w:rPr>
          <w:rFonts w:hint="eastAsia" w:ascii="楷体_GB2312" w:hAnsi="Times New Roman" w:eastAsia="楷体_GB2312" w:cs="Times New Roman"/>
          <w:bCs/>
          <w:sz w:val="32"/>
          <w:szCs w:val="32"/>
        </w:rPr>
        <w:t>（四）行人安全守护。</w:t>
      </w:r>
      <w:r>
        <w:rPr>
          <w:rFonts w:hint="eastAsia" w:ascii="仿宋_GB2312" w:hAnsi="Times New Roman" w:eastAsia="仿宋_GB2312" w:cs="Times New Roman"/>
          <w:bCs/>
          <w:sz w:val="32"/>
          <w:szCs w:val="32"/>
        </w:rPr>
        <w:t>针对行人过街需求集中区域，如村庄路口、集市附近等，严格按标准施划清晰醒目的斑马线，并配套设置行人信号灯（如有必要）。增设礼让行人抓拍系统，对不减速、不礼让行为依法惩处，引导车辆养成文明让行习惯。</w:t>
      </w:r>
    </w:p>
    <w:p w14:paraId="38D44889">
      <w:pPr>
        <w:ind w:firstLine="640" w:firstLineChars="200"/>
        <w:jc w:val="left"/>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交通畅顺关乎民生福祉、经济发展。期望相关部门协同联动，尽快研判落实上述建议，为民众打造安全、高效的出行环境，让 G306 国道成为区域发展的“平安路”“幸福路”。</w:t>
      </w:r>
    </w:p>
    <w:p w14:paraId="30662DC0">
      <w:pPr>
        <w:rPr>
          <w:rFonts w:ascii="楷体_GB2312" w:eastAsia="楷体_GB2312"/>
          <w:sz w:val="32"/>
          <w:szCs w:val="32"/>
        </w:rPr>
      </w:pPr>
    </w:p>
    <w:p w14:paraId="291A3768">
      <w:pPr>
        <w:rPr>
          <w:rFonts w:ascii="楷体_GB2312" w:eastAsia="楷体_GB2312"/>
          <w:sz w:val="32"/>
          <w:szCs w:val="32"/>
        </w:rPr>
      </w:pPr>
    </w:p>
    <w:p w14:paraId="07FEF02B">
      <w:pPr>
        <w:rPr>
          <w:rFonts w:ascii="楷体_GB2312" w:eastAsia="楷体_GB2312"/>
          <w:sz w:val="32"/>
          <w:szCs w:val="32"/>
        </w:rPr>
      </w:pPr>
    </w:p>
    <w:p w14:paraId="1FD1C2CB">
      <w:pPr>
        <w:rPr>
          <w:rFonts w:ascii="楷体_GB2312" w:eastAsia="楷体_GB2312"/>
          <w:sz w:val="32"/>
          <w:szCs w:val="32"/>
        </w:rPr>
      </w:pPr>
    </w:p>
    <w:p w14:paraId="175E2D01">
      <w:pPr>
        <w:rPr>
          <w:rFonts w:ascii="楷体_GB2312" w:eastAsia="楷体_GB2312"/>
          <w:sz w:val="32"/>
          <w:szCs w:val="32"/>
        </w:rPr>
      </w:pPr>
    </w:p>
    <w:p w14:paraId="15E58FFB">
      <w:pPr>
        <w:rPr>
          <w:rFonts w:ascii="楷体_GB2312" w:eastAsia="楷体_GB2312"/>
          <w:sz w:val="32"/>
          <w:szCs w:val="32"/>
        </w:rPr>
      </w:pPr>
    </w:p>
    <w:p w14:paraId="3ADA7D7E">
      <w:pPr>
        <w:rPr>
          <w:rFonts w:ascii="楷体_GB2312" w:eastAsia="楷体_GB2312"/>
          <w:sz w:val="32"/>
          <w:szCs w:val="32"/>
        </w:rPr>
      </w:pPr>
    </w:p>
    <w:p w14:paraId="62A657B7">
      <w:pPr>
        <w:rPr>
          <w:rFonts w:ascii="楷体_GB2312" w:eastAsia="楷体_GB2312"/>
          <w:sz w:val="32"/>
          <w:szCs w:val="32"/>
        </w:rPr>
      </w:pPr>
    </w:p>
    <w:p w14:paraId="6E9E4FA1">
      <w:pPr>
        <w:rPr>
          <w:rFonts w:ascii="楷体_GB2312" w:eastAsia="楷体_GB2312"/>
          <w:sz w:val="32"/>
          <w:szCs w:val="32"/>
        </w:rPr>
      </w:pPr>
    </w:p>
    <w:p w14:paraId="081E0DA7">
      <w:pPr>
        <w:rPr>
          <w:rFonts w:ascii="楷体_GB2312" w:eastAsia="楷体_GB2312"/>
          <w:sz w:val="32"/>
          <w:szCs w:val="32"/>
        </w:rPr>
      </w:pPr>
    </w:p>
    <w:p w14:paraId="4B571337">
      <w:pPr>
        <w:rPr>
          <w:rFonts w:ascii="楷体_GB2312" w:eastAsia="楷体_GB2312"/>
          <w:sz w:val="32"/>
          <w:szCs w:val="32"/>
        </w:rPr>
      </w:pPr>
    </w:p>
    <w:p w14:paraId="58840565">
      <w:pPr>
        <w:rPr>
          <w:rFonts w:ascii="楷体_GB2312" w:eastAsia="楷体_GB2312"/>
          <w:sz w:val="32"/>
          <w:szCs w:val="32"/>
        </w:rPr>
      </w:pPr>
    </w:p>
    <w:p w14:paraId="0DFAC2A9">
      <w:pPr>
        <w:rPr>
          <w:rFonts w:ascii="楷体_GB2312" w:eastAsia="楷体_GB2312"/>
          <w:sz w:val="32"/>
          <w:szCs w:val="32"/>
        </w:rPr>
      </w:pPr>
    </w:p>
    <w:p w14:paraId="62259F2C">
      <w:pPr>
        <w:rPr>
          <w:rFonts w:ascii="楷体_GB2312" w:eastAsia="楷体_GB2312"/>
          <w:sz w:val="32"/>
          <w:szCs w:val="32"/>
        </w:rPr>
      </w:pPr>
    </w:p>
    <w:p w14:paraId="3D8D73E7">
      <w:pPr>
        <w:rPr>
          <w:rFonts w:ascii="楷体_GB2312" w:eastAsia="楷体_GB2312"/>
          <w:sz w:val="32"/>
          <w:szCs w:val="32"/>
        </w:rPr>
      </w:pPr>
    </w:p>
    <w:p w14:paraId="22DA8424">
      <w:pPr>
        <w:rPr>
          <w:rFonts w:ascii="楷体_GB2312" w:eastAsia="楷体_GB2312"/>
          <w:sz w:val="32"/>
          <w:szCs w:val="32"/>
        </w:rPr>
      </w:pPr>
    </w:p>
    <w:p w14:paraId="1D7A2E31">
      <w:pPr>
        <w:rPr>
          <w:rFonts w:ascii="楷体_GB2312" w:eastAsia="楷体_GB2312"/>
          <w:sz w:val="32"/>
          <w:szCs w:val="32"/>
        </w:rPr>
      </w:pPr>
    </w:p>
    <w:p w14:paraId="5A3C597D">
      <w:pPr>
        <w:rPr>
          <w:rFonts w:ascii="楷体_GB2312" w:eastAsia="楷体_GB2312"/>
          <w:sz w:val="32"/>
          <w:szCs w:val="32"/>
        </w:rPr>
      </w:pPr>
    </w:p>
    <w:p w14:paraId="7CE1E482">
      <w:pPr>
        <w:rPr>
          <w:rFonts w:ascii="楷体_GB2312" w:eastAsia="楷体_GB2312"/>
          <w:sz w:val="32"/>
          <w:szCs w:val="32"/>
        </w:rPr>
      </w:pPr>
      <w:r>
        <w:rPr>
          <w:rFonts w:hint="eastAsia" w:ascii="楷体_GB2312" w:eastAsia="楷体_GB2312"/>
          <w:sz w:val="32"/>
          <w:szCs w:val="32"/>
        </w:rPr>
        <w:t xml:space="preserve">提案编号：062 </w:t>
      </w:r>
    </w:p>
    <w:p w14:paraId="15747F9B">
      <w:pPr>
        <w:rPr>
          <w:rFonts w:ascii="楷体_GB2312" w:eastAsia="楷体_GB2312"/>
          <w:sz w:val="32"/>
          <w:szCs w:val="32"/>
        </w:rPr>
      </w:pPr>
      <w:r>
        <w:rPr>
          <w:rFonts w:hint="eastAsia" w:ascii="楷体_GB2312" w:eastAsia="楷体_GB2312"/>
          <w:sz w:val="32"/>
          <w:szCs w:val="32"/>
        </w:rPr>
        <w:t>提案名称：关于增设道路交通信号灯的提案</w:t>
      </w:r>
    </w:p>
    <w:p w14:paraId="3662C4BA">
      <w:pPr>
        <w:rPr>
          <w:rFonts w:ascii="楷体_GB2312" w:eastAsia="楷体_GB2312"/>
          <w:sz w:val="32"/>
          <w:szCs w:val="32"/>
        </w:rPr>
      </w:pPr>
      <w:r>
        <w:rPr>
          <w:rFonts w:hint="eastAsia" w:ascii="楷体_GB2312" w:eastAsia="楷体_GB2312"/>
          <w:sz w:val="32"/>
          <w:szCs w:val="32"/>
        </w:rPr>
        <w:t>提 案 人：乌新华</w:t>
      </w:r>
    </w:p>
    <w:p w14:paraId="5D842598">
      <w:pPr>
        <w:rPr>
          <w:rFonts w:ascii="楷体_GB2312" w:eastAsia="楷体_GB2312"/>
          <w:sz w:val="32"/>
          <w:szCs w:val="32"/>
        </w:rPr>
      </w:pPr>
      <w:r>
        <w:rPr>
          <w:rFonts w:hint="eastAsia" w:ascii="楷体_GB2312" w:eastAsia="楷体_GB2312"/>
          <w:sz w:val="32"/>
          <w:szCs w:val="32"/>
        </w:rPr>
        <w:t>联系方式：18204765575</w:t>
      </w:r>
    </w:p>
    <w:p w14:paraId="135CA80C">
      <w:pPr>
        <w:rPr>
          <w:rFonts w:ascii="楷体_GB2312" w:eastAsia="楷体_GB2312"/>
          <w:sz w:val="32"/>
          <w:szCs w:val="32"/>
        </w:rPr>
      </w:pPr>
      <w:r>
        <w:rPr>
          <w:rFonts w:hint="eastAsia" w:ascii="楷体_GB2312" w:eastAsia="楷体_GB2312"/>
          <w:sz w:val="32"/>
          <w:szCs w:val="32"/>
        </w:rPr>
        <w:t>界    别：工会</w:t>
      </w:r>
      <w:r>
        <w:rPr>
          <w:rFonts w:ascii="楷体_GB2312" w:eastAsia="楷体_GB2312"/>
          <w:sz w:val="32"/>
          <w:szCs w:val="32"/>
        </w:rPr>
        <w:t xml:space="preserve"> </w:t>
      </w:r>
    </w:p>
    <w:p w14:paraId="1F171B14">
      <w:pPr>
        <w:spacing w:line="600" w:lineRule="exact"/>
        <w:ind w:firstLine="272" w:firstLineChars="62"/>
        <w:jc w:val="center"/>
        <w:rPr>
          <w:rFonts w:ascii="方正小标宋简体" w:hAnsi="仿宋" w:eastAsia="方正小标宋简体"/>
          <w:sz w:val="44"/>
          <w:szCs w:val="44"/>
        </w:rPr>
      </w:pPr>
      <w:r>
        <w:rPr>
          <w:rFonts w:hint="eastAsia" w:ascii="方正小标宋简体" w:hAnsi="方正小标宋_GBK" w:eastAsia="方正小标宋简体"/>
          <w:sz w:val="44"/>
          <w:szCs w:val="44"/>
        </w:rPr>
        <w:t>关于增设道路交通信号灯的提案</w:t>
      </w:r>
    </w:p>
    <w:p w14:paraId="6DFAFE27">
      <w:pPr>
        <w:spacing w:line="560" w:lineRule="exact"/>
        <w:ind w:firstLine="640" w:firstLineChars="200"/>
        <w:rPr>
          <w:rFonts w:ascii="仿宋_GB2312" w:eastAsia="仿宋_GB2312"/>
          <w:sz w:val="32"/>
          <w:szCs w:val="32"/>
        </w:rPr>
      </w:pPr>
    </w:p>
    <w:p w14:paraId="35FDDE76">
      <w:pPr>
        <w:spacing w:line="560" w:lineRule="exact"/>
        <w:ind w:firstLine="640" w:firstLineChars="200"/>
        <w:rPr>
          <w:rFonts w:ascii="仿宋_GB2312" w:eastAsia="仿宋_GB2312"/>
          <w:sz w:val="32"/>
          <w:szCs w:val="32"/>
        </w:rPr>
      </w:pPr>
      <w:r>
        <w:rPr>
          <w:rFonts w:hint="eastAsia" w:ascii="仿宋_GB2312" w:eastAsia="仿宋_GB2312"/>
          <w:sz w:val="32"/>
          <w:szCs w:val="32"/>
        </w:rPr>
        <w:t>近些年来，为维护城市交通秩序、保障群众出行安全，公安交警、交通等部门做出了大量的工作，取得了明显的成效，广大人民群众有目共睹。但是在道路交通信号灯的设置上还有些不尽合理的地方。</w:t>
      </w:r>
    </w:p>
    <w:p w14:paraId="6951B20D">
      <w:pPr>
        <w:spacing w:line="560" w:lineRule="exact"/>
        <w:ind w:firstLine="640" w:firstLineChars="200"/>
        <w:rPr>
          <w:rFonts w:ascii="黑体" w:hAnsi="黑体" w:eastAsia="黑体"/>
          <w:sz w:val="32"/>
          <w:szCs w:val="32"/>
        </w:rPr>
      </w:pPr>
      <w:r>
        <w:rPr>
          <w:rFonts w:hint="eastAsia" w:ascii="黑体" w:hAnsi="黑体" w:eastAsia="黑体"/>
          <w:sz w:val="32"/>
          <w:szCs w:val="32"/>
        </w:rPr>
        <w:t>一、基本情况及存在的问题</w:t>
      </w:r>
    </w:p>
    <w:p w14:paraId="50600A06">
      <w:pPr>
        <w:spacing w:line="560" w:lineRule="exact"/>
        <w:ind w:firstLine="640" w:firstLineChars="200"/>
        <w:rPr>
          <w:rFonts w:ascii="黑体" w:hAnsi="黑体" w:eastAsia="黑体"/>
          <w:sz w:val="32"/>
          <w:szCs w:val="32"/>
        </w:rPr>
      </w:pPr>
      <w:r>
        <w:rPr>
          <w:rFonts w:hint="eastAsia" w:ascii="仿宋_GB2312" w:eastAsia="仿宋_GB2312"/>
          <w:sz w:val="32"/>
          <w:szCs w:val="32"/>
        </w:rPr>
        <w:t>道路交通信号灯是城市交通控制系统的重要组成部分，科学合理的设置对缓解交通拥堵起着举足轻重的作用。但目前锦山城区大多数的丁字路口均未设置道路交通信号灯。近年来，锦山城区多个高层住宅拔地而起，随着这些住宅区的入住率逐渐增多，其附近原有的路段也从原来的人车寥寥无几逐渐变得越来越拥堵。比如，河南东区的公园路与锦南大街交叉口的丁字路口，鸿瑞福园、沁水湾、宽景沁园三个高层住宅的入住率逐渐增多，早中晚上下班高峰期容易造成车流汇入难消化，造成高峰时段的拥堵，甚至该丁字路口的交通事故也随之增多。</w:t>
      </w:r>
    </w:p>
    <w:p w14:paraId="2D965466">
      <w:pPr>
        <w:spacing w:line="560" w:lineRule="exact"/>
        <w:ind w:firstLine="645"/>
        <w:rPr>
          <w:rFonts w:ascii="黑体" w:hAnsi="黑体" w:eastAsia="黑体"/>
          <w:sz w:val="32"/>
          <w:szCs w:val="32"/>
        </w:rPr>
      </w:pPr>
      <w:r>
        <w:rPr>
          <w:rFonts w:hint="eastAsia" w:ascii="黑体" w:hAnsi="黑体" w:eastAsia="黑体"/>
          <w:sz w:val="32"/>
          <w:szCs w:val="32"/>
        </w:rPr>
        <w:t>二、建议</w:t>
      </w:r>
    </w:p>
    <w:p w14:paraId="479BEAB9">
      <w:pPr>
        <w:spacing w:line="560" w:lineRule="exact"/>
        <w:ind w:firstLine="640" w:firstLineChars="200"/>
        <w:rPr>
          <w:rFonts w:ascii="仿宋_GB2312" w:eastAsia="仿宋_GB2312"/>
          <w:sz w:val="32"/>
          <w:szCs w:val="32"/>
        </w:rPr>
      </w:pPr>
      <w:r>
        <w:rPr>
          <w:rFonts w:hint="eastAsia" w:ascii="仿宋_GB2312" w:eastAsia="仿宋_GB2312"/>
          <w:sz w:val="32"/>
          <w:szCs w:val="32"/>
        </w:rPr>
        <w:t>1.开展各类丁字路口是否应该增设道路交通信号灯的调研，为增设道路交通信号灯提供数据支持。</w:t>
      </w:r>
    </w:p>
    <w:p w14:paraId="09071045">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科学合理的增设丁字路口的道路交通信号灯。</w:t>
      </w:r>
    </w:p>
    <w:p w14:paraId="0C14A106">
      <w:pPr>
        <w:spacing w:line="560" w:lineRule="exact"/>
        <w:ind w:firstLine="640" w:firstLineChars="200"/>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在设置道路交通信号灯的同时，配套安装违章监控设备，从根本上治理超速、逆行等违章现象。</w:t>
      </w:r>
    </w:p>
    <w:p w14:paraId="18B529CF">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上下班高峰时段在易拥堵路段设置现场交通管理员，加强对行人和非机动车违反交通规则的处罚力度和宣传教育力度，及时处理各种应急交通问题。</w:t>
      </w:r>
    </w:p>
    <w:p w14:paraId="4EF02071">
      <w:pPr>
        <w:spacing w:line="560" w:lineRule="exact"/>
        <w:ind w:firstLine="640" w:firstLineChars="200"/>
        <w:rPr>
          <w:rFonts w:ascii="仿宋_GB2312" w:eastAsia="仿宋_GB2312"/>
          <w:sz w:val="32"/>
          <w:szCs w:val="32"/>
        </w:rPr>
      </w:pPr>
    </w:p>
    <w:p w14:paraId="3F464FC5">
      <w:pPr>
        <w:spacing w:line="560" w:lineRule="exact"/>
        <w:ind w:firstLine="640" w:firstLineChars="200"/>
        <w:rPr>
          <w:rFonts w:ascii="仿宋_GB2312" w:eastAsia="仿宋_GB2312"/>
          <w:sz w:val="32"/>
          <w:szCs w:val="32"/>
        </w:rPr>
      </w:pPr>
    </w:p>
    <w:p w14:paraId="15DE7BD9">
      <w:pPr>
        <w:spacing w:line="560" w:lineRule="exact"/>
        <w:ind w:firstLine="640" w:firstLineChars="200"/>
        <w:rPr>
          <w:rFonts w:ascii="仿宋_GB2312" w:eastAsia="仿宋_GB2312"/>
          <w:sz w:val="32"/>
          <w:szCs w:val="32"/>
        </w:rPr>
      </w:pPr>
    </w:p>
    <w:p w14:paraId="281334CB">
      <w:pPr>
        <w:wordWrap w:val="0"/>
        <w:spacing w:line="560" w:lineRule="exact"/>
        <w:ind w:firstLine="640" w:firstLineChars="200"/>
        <w:jc w:val="right"/>
        <w:rPr>
          <w:rFonts w:ascii="仿宋_GB2312" w:eastAsia="仿宋_GB2312"/>
          <w:sz w:val="32"/>
          <w:szCs w:val="32"/>
        </w:rPr>
      </w:pPr>
      <w:r>
        <w:rPr>
          <w:rFonts w:ascii="仿宋_GB2312" w:eastAsia="仿宋_GB2312"/>
          <w:sz w:val="32"/>
          <w:szCs w:val="32"/>
        </w:rPr>
        <w:t xml:space="preserve">  </w:t>
      </w:r>
    </w:p>
    <w:p w14:paraId="664817B0">
      <w:pPr>
        <w:spacing w:line="600" w:lineRule="exact"/>
        <w:ind w:firstLine="640" w:firstLineChars="200"/>
        <w:rPr>
          <w:rFonts w:ascii="仿宋_GB2312" w:hAnsi="仿宋_GB2312" w:eastAsia="仿宋_GB2312" w:cs="仿宋_GB2312"/>
          <w:sz w:val="32"/>
          <w:szCs w:val="32"/>
        </w:rPr>
      </w:pPr>
    </w:p>
    <w:p w14:paraId="66B173EA"/>
    <w:p w14:paraId="330D2065"/>
    <w:p w14:paraId="4C4CEAB8"/>
    <w:p w14:paraId="2183AFCF"/>
    <w:p w14:paraId="1BDF5B4C"/>
    <w:p w14:paraId="624C9702"/>
    <w:p w14:paraId="1DDA6664"/>
    <w:p w14:paraId="2B46B45B"/>
    <w:p w14:paraId="22099972"/>
    <w:p w14:paraId="10CA0CE8"/>
    <w:p w14:paraId="18194F75"/>
    <w:p w14:paraId="642D7767"/>
    <w:p w14:paraId="570051AF"/>
    <w:p w14:paraId="274155EB"/>
    <w:p w14:paraId="70260643"/>
    <w:p w14:paraId="6F8266B8"/>
    <w:p w14:paraId="3D389026"/>
    <w:p w14:paraId="71CDBE08"/>
    <w:p w14:paraId="509013B6"/>
    <w:p w14:paraId="7E1AB5FC"/>
    <w:p w14:paraId="621B83BA"/>
    <w:p w14:paraId="4ABC62F8"/>
    <w:p w14:paraId="332FD729"/>
    <w:p w14:paraId="468D3C96">
      <w:pPr>
        <w:spacing w:line="56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提案编号：063</w:t>
      </w:r>
    </w:p>
    <w:p w14:paraId="380CCBC7">
      <w:pPr>
        <w:spacing w:line="56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提案名称：关于促进节水农业发展的提案</w:t>
      </w:r>
    </w:p>
    <w:p w14:paraId="4633B516">
      <w:pPr>
        <w:spacing w:line="560" w:lineRule="exact"/>
        <w:rPr>
          <w:rFonts w:ascii="楷体_GB2312" w:hAnsi="楷体" w:eastAsia="楷体_GB2312" w:cs="仿宋_GB2312"/>
          <w:bCs/>
          <w:spacing w:val="-17"/>
          <w:sz w:val="32"/>
          <w:szCs w:val="32"/>
        </w:rPr>
      </w:pPr>
      <w:r>
        <w:rPr>
          <w:rFonts w:hint="eastAsia" w:ascii="楷体_GB2312" w:hAnsi="楷体" w:eastAsia="楷体_GB2312" w:cs="仿宋_GB2312"/>
          <w:bCs/>
          <w:spacing w:val="-30"/>
          <w:sz w:val="32"/>
          <w:szCs w:val="32"/>
        </w:rPr>
        <w:t>提  案  人</w:t>
      </w:r>
      <w:r>
        <w:rPr>
          <w:rFonts w:hint="eastAsia" w:ascii="楷体_GB2312" w:hAnsi="楷体" w:eastAsia="楷体_GB2312" w:cs="仿宋_GB2312"/>
          <w:sz w:val="32"/>
          <w:szCs w:val="32"/>
        </w:rPr>
        <w:t>：杨春光</w:t>
      </w:r>
      <w:r>
        <w:rPr>
          <w:rFonts w:hint="eastAsia" w:ascii="楷体_GB2312" w:hAnsi="楷体" w:eastAsia="楷体_GB2312" w:cs="仿宋_GB2312"/>
          <w:bCs/>
          <w:spacing w:val="-17"/>
          <w:sz w:val="32"/>
          <w:szCs w:val="32"/>
        </w:rPr>
        <w:t xml:space="preserve"> </w:t>
      </w:r>
    </w:p>
    <w:p w14:paraId="673BE97A">
      <w:pPr>
        <w:spacing w:line="560" w:lineRule="exact"/>
        <w:rPr>
          <w:rFonts w:ascii="楷体_GB2312" w:hAnsi="楷体" w:eastAsia="楷体_GB2312" w:cs="仿宋_GB2312"/>
          <w:sz w:val="32"/>
          <w:szCs w:val="32"/>
        </w:rPr>
      </w:pPr>
      <w:r>
        <w:rPr>
          <w:rFonts w:hint="eastAsia" w:ascii="楷体_GB2312" w:hAnsi="楷体" w:eastAsia="楷体_GB2312" w:cs="仿宋_GB2312"/>
          <w:bCs/>
          <w:spacing w:val="-17"/>
          <w:sz w:val="32"/>
          <w:szCs w:val="32"/>
        </w:rPr>
        <w:t>联系方式</w:t>
      </w:r>
      <w:r>
        <w:rPr>
          <w:rFonts w:hint="eastAsia" w:ascii="楷体_GB2312" w:hAnsi="楷体" w:eastAsia="楷体_GB2312" w:cs="仿宋_GB2312"/>
          <w:sz w:val="32"/>
          <w:szCs w:val="32"/>
        </w:rPr>
        <w:t>：</w:t>
      </w:r>
      <w:r>
        <w:rPr>
          <w:rFonts w:hint="eastAsia" w:ascii="楷体_GB2312" w:hAnsi="Times New Roman" w:eastAsia="楷体_GB2312"/>
          <w:sz w:val="32"/>
          <w:szCs w:val="32"/>
        </w:rPr>
        <w:t>13789790846</w:t>
      </w:r>
    </w:p>
    <w:p w14:paraId="6765287C">
      <w:pPr>
        <w:spacing w:line="560" w:lineRule="exact"/>
        <w:rPr>
          <w:rFonts w:ascii="楷体_GB2312" w:hAnsi="楷体" w:eastAsia="楷体_GB2312" w:cs="仿宋_GB2312"/>
          <w:bCs/>
          <w:spacing w:val="-17"/>
          <w:sz w:val="32"/>
          <w:szCs w:val="32"/>
        </w:rPr>
      </w:pPr>
      <w:r>
        <w:rPr>
          <w:rFonts w:hint="eastAsia" w:ascii="楷体_GB2312" w:hAnsi="楷体" w:eastAsia="楷体_GB2312" w:cs="仿宋_GB2312"/>
          <w:bCs/>
          <w:spacing w:val="-17"/>
          <w:sz w:val="32"/>
          <w:szCs w:val="32"/>
        </w:rPr>
        <w:t>界     别</w:t>
      </w:r>
      <w:r>
        <w:rPr>
          <w:rFonts w:hint="eastAsia" w:ascii="楷体_GB2312" w:hAnsi="楷体" w:eastAsia="楷体_GB2312" w:cs="仿宋_GB2312"/>
          <w:sz w:val="32"/>
          <w:szCs w:val="32"/>
        </w:rPr>
        <w:t>：中国共产主义青年团</w:t>
      </w:r>
    </w:p>
    <w:p w14:paraId="0A9B404B">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关于促进</w:t>
      </w:r>
      <w:r>
        <w:rPr>
          <w:rFonts w:hint="eastAsia" w:ascii="方正小标宋简体" w:hAnsi="方正小标宋简体" w:eastAsia="方正小标宋简体" w:cs="方正小标宋简体"/>
          <w:sz w:val="44"/>
          <w:szCs w:val="44"/>
          <w:shd w:val="clear" w:color="auto" w:fill="FFFFFF"/>
        </w:rPr>
        <w:t>节水农业发展的提案</w:t>
      </w:r>
    </w:p>
    <w:p w14:paraId="434AE393">
      <w:pPr>
        <w:rPr>
          <w:rFonts w:ascii="方正小标宋简体" w:hAnsi="方正小标宋简体" w:eastAsia="方正小标宋简体" w:cs="方正小标宋简体"/>
          <w:sz w:val="44"/>
          <w:szCs w:val="44"/>
        </w:rPr>
      </w:pPr>
    </w:p>
    <w:p w14:paraId="1C2377D6">
      <w:pPr>
        <w:ind w:firstLine="640" w:firstLineChars="200"/>
        <w:rPr>
          <w:rFonts w:ascii="方正小标宋简体" w:hAnsi="方正小标宋简体" w:eastAsia="方正小标宋简体" w:cs="方正小标宋简体"/>
          <w:sz w:val="44"/>
          <w:szCs w:val="44"/>
        </w:rPr>
      </w:pPr>
      <w:r>
        <w:rPr>
          <w:rFonts w:hint="eastAsia" w:ascii="黑体" w:hAnsi="黑体" w:eastAsia="黑体"/>
          <w:sz w:val="32"/>
          <w:szCs w:val="32"/>
        </w:rPr>
        <w:t>一、基本情况</w:t>
      </w:r>
    </w:p>
    <w:p w14:paraId="305653D3">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三农</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问题始终是关系党和国家事业兴衰成败的根本性问题，从2004年开始，中央一号文件连续</w:t>
      </w:r>
      <w:r>
        <w:rPr>
          <w:rFonts w:hint="eastAsia" w:ascii="仿宋_GB2312" w:hAnsi="仿宋_GB2312" w:eastAsia="仿宋_GB2312" w:cs="仿宋_GB2312"/>
          <w:sz w:val="32"/>
          <w:szCs w:val="32"/>
        </w:rPr>
        <w:t>多年</w:t>
      </w:r>
      <w:r>
        <w:rPr>
          <w:rFonts w:ascii="仿宋_GB2312" w:hAnsi="仿宋_GB2312" w:eastAsia="仿宋_GB2312" w:cs="仿宋_GB2312"/>
          <w:sz w:val="32"/>
          <w:szCs w:val="32"/>
        </w:rPr>
        <w:t>聚焦</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乡村振兴，对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农业、农村、农民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工作进行全面部署。自治区、市级层面也相继出台文件、多次召开会议推进部署</w:t>
      </w:r>
      <w:r>
        <w:rPr>
          <w:rFonts w:hint="eastAsia" w:ascii="仿宋_GB2312" w:hAnsi="仿宋_GB2312" w:eastAsia="仿宋_GB2312" w:cs="仿宋_GB2312"/>
          <w:sz w:val="32"/>
          <w:szCs w:val="32"/>
        </w:rPr>
        <w:t>农业</w:t>
      </w:r>
      <w:r>
        <w:rPr>
          <w:rFonts w:ascii="仿宋_GB2312" w:hAnsi="仿宋_GB2312" w:eastAsia="仿宋_GB2312" w:cs="仿宋_GB2312"/>
          <w:sz w:val="32"/>
          <w:szCs w:val="32"/>
        </w:rPr>
        <w:t>工作。喀喇沁旗是传统农业旗县，我旗34.2万人口，其中有25万人生活在农村，占总人口的73%。</w:t>
      </w:r>
      <w:r>
        <w:rPr>
          <w:rFonts w:hint="eastAsia" w:ascii="仿宋_GB2312" w:hAnsi="仿宋_GB2312" w:eastAsia="仿宋_GB2312" w:cs="仿宋_GB2312"/>
          <w:sz w:val="32"/>
          <w:szCs w:val="32"/>
        </w:rPr>
        <w:t>我旗是重要的农畜产品生产基地和粮食产区，近几年，全旗粮食播种面积和产量只增不减，已实现粮食生产多年连丰。</w:t>
      </w:r>
    </w:p>
    <w:p w14:paraId="7EEA6B1C">
      <w:pPr>
        <w:spacing w:line="560" w:lineRule="exact"/>
        <w:ind w:firstLine="640" w:firstLineChars="200"/>
        <w:rPr>
          <w:rFonts w:ascii="仿宋_GB2312" w:hAnsi="仿宋" w:eastAsia="仿宋_GB2312"/>
          <w:sz w:val="32"/>
          <w:szCs w:val="32"/>
        </w:rPr>
      </w:pPr>
      <w:r>
        <w:rPr>
          <w:rFonts w:hint="eastAsia" w:ascii="黑体" w:hAnsi="黑体" w:eastAsia="黑体"/>
          <w:sz w:val="32"/>
          <w:szCs w:val="32"/>
        </w:rPr>
        <w:t>二、存在问题</w:t>
      </w:r>
    </w:p>
    <w:p w14:paraId="29580EEB">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（一）农业用水资源紧缺。</w:t>
      </w:r>
      <w:r>
        <w:rPr>
          <w:rFonts w:hint="eastAsia" w:ascii="仿宋_GB2312" w:hAnsi="仿宋_GB2312" w:eastAsia="仿宋_GB2312" w:cs="仿宋_GB2312"/>
          <w:sz w:val="32"/>
          <w:szCs w:val="32"/>
        </w:rPr>
        <w:t>我国水资源总量仅占世界的6%，人均不足世界平均水平的四分之一。随着人口增长，特别是工业化、城镇化进程的加快，工农之间、城乡之间用水矛盾进一步加大，保障农业灌溉用水的难度不断增加。</w:t>
      </w:r>
    </w:p>
    <w:p w14:paraId="65062404">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（二）干旱对农业生产的威胁大。</w:t>
      </w:r>
      <w:r>
        <w:rPr>
          <w:rFonts w:hint="eastAsia" w:ascii="仿宋_GB2312" w:hAnsi="仿宋_GB2312" w:eastAsia="仿宋_GB2312" w:cs="仿宋_GB2312"/>
          <w:sz w:val="32"/>
          <w:szCs w:val="32"/>
        </w:rPr>
        <w:t>旱情是影响我旗粮食和农业生产发展的常态，农业高质量发展面临威胁。我旗地里位置处在年降水量400mm到800mm之间的半湿润地区，特别是旱涝急转的情况经常出现，严重影响我旗农业生产。</w:t>
      </w:r>
    </w:p>
    <w:p w14:paraId="5516335F">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（三）浪费水资源问题难以根治。</w:t>
      </w:r>
      <w:r>
        <w:rPr>
          <w:rFonts w:hint="eastAsia" w:ascii="仿宋_GB2312" w:hAnsi="仿宋_GB2312" w:eastAsia="仿宋_GB2312" w:cs="仿宋_GB2312"/>
          <w:sz w:val="32"/>
          <w:szCs w:val="32"/>
        </w:rPr>
        <w:t>超采地下水大规模种植高耗水农作物、节水农业技术推广使用不充分、节水灌溉设施利用率低等诸多问题，这直接导致很多地区超采“漏斗区”显现、河道断流、水位下降。</w:t>
      </w:r>
    </w:p>
    <w:p w14:paraId="0D28A396">
      <w:pPr>
        <w:ind w:firstLine="640" w:firstLineChars="200"/>
        <w:rPr>
          <w:rFonts w:ascii="黑体" w:hAnsi="黑体" w:eastAsia="黑体" w:cs="黑体"/>
          <w:sz w:val="32"/>
          <w:szCs w:val="32"/>
        </w:rPr>
      </w:pPr>
      <w:r>
        <w:rPr>
          <w:rFonts w:hint="eastAsia" w:ascii="黑体" w:hAnsi="黑体" w:eastAsia="黑体" w:cs="黑体"/>
          <w:sz w:val="32"/>
          <w:szCs w:val="32"/>
        </w:rPr>
        <w:t>三、建议</w:t>
      </w:r>
    </w:p>
    <w:p w14:paraId="39C008C3">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（一）加大高标准农田建设力度。</w:t>
      </w:r>
      <w:r>
        <w:rPr>
          <w:rFonts w:hint="eastAsia" w:ascii="仿宋_GB2312" w:hAnsi="仿宋_GB2312" w:eastAsia="仿宋_GB2312" w:cs="仿宋_GB2312"/>
          <w:sz w:val="32"/>
          <w:szCs w:val="32"/>
        </w:rPr>
        <w:t>《内蒙古自治区水资源公报2023年》显示，2023 年全区用水总量 202.87亿㎡。其中，农田灌溉用水 140.88亿 ㎡ ，占用水总量的 69.4%，农业用水量具有极大的降低空间。因此根据我旗“产粮又缺水”的实际，应加大以高效节水为主的高标准农田建设力度，积极推广地膜覆盖、集雨补灌、膜下滴灌、灌溉施肥、抗旱抗逆等农业节水新技术应用，努力提高肥料和水资源利用率，实现节水、节肥。</w:t>
      </w:r>
    </w:p>
    <w:p w14:paraId="2D3124F4">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（二）加强农田水利设施的建设与管理。</w:t>
      </w:r>
      <w:r>
        <w:rPr>
          <w:rFonts w:hint="eastAsia" w:ascii="仿宋_GB2312" w:hAnsi="仿宋_GB2312" w:eastAsia="仿宋_GB2312" w:cs="仿宋_GB2312"/>
          <w:sz w:val="32"/>
          <w:szCs w:val="32"/>
        </w:rPr>
        <w:t>按照政府主导投入、农民主体管理、社会资本参与的建设管理思路，完善多元化、多渠道的投入机制，鼓励和引导社会力量积极参与兴修农田水利。深化农田水利管理体制改革，推广农业用水户自主管理模式，通过补助、奖励等办法充分调动农民进行农田水利建设的积极性，提高农田水利工程建设质量，保证其发挥长期效益。</w:t>
      </w:r>
    </w:p>
    <w:p w14:paraId="3C559539">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（三）积极调整优化农业种植结构。</w:t>
      </w:r>
      <w:r>
        <w:rPr>
          <w:rFonts w:hint="eastAsia" w:ascii="仿宋_GB2312" w:hAnsi="仿宋_GB2312" w:eastAsia="仿宋_GB2312" w:cs="仿宋_GB2312"/>
          <w:sz w:val="32"/>
          <w:szCs w:val="32"/>
        </w:rPr>
        <w:t>以水资源和水环境承载能力为依据，坚持量水而行、以水定地、以水定产，科学确定农业生产任务与指标，对粮食品种结构进行调整优化，加快培育推广抗旱节水品种。</w:t>
      </w:r>
    </w:p>
    <w:p w14:paraId="703F0F99">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（四）加快推进农业水价和水资源税改革。</w:t>
      </w:r>
      <w:r>
        <w:rPr>
          <w:rFonts w:hint="eastAsia" w:ascii="仿宋_GB2312" w:hAnsi="仿宋_GB2312" w:eastAsia="仿宋_GB2312" w:cs="仿宋_GB2312"/>
          <w:sz w:val="32"/>
          <w:szCs w:val="32"/>
        </w:rPr>
        <w:t>加快健全地下水实时监测、开采计量等水资源监测体系和科学的农业水价机制，发挥市场在水资源配置中的作用，实行差别化水价政策，落实节水奖励，提高严重超采地区地下水资源收费标准，促进农业节水和农业可持续发展。</w:t>
      </w:r>
    </w:p>
    <w:p w14:paraId="3FAF987C">
      <w:pPr>
        <w:rPr>
          <w:rFonts w:ascii="仿宋_GB2312" w:hAnsi="仿宋_GB2312" w:eastAsia="仿宋_GB2312" w:cs="仿宋_GB2312"/>
          <w:sz w:val="32"/>
          <w:szCs w:val="32"/>
        </w:rPr>
      </w:pPr>
    </w:p>
    <w:p w14:paraId="7E42802A">
      <w:pPr>
        <w:rPr>
          <w:rFonts w:ascii="仿宋_GB2312" w:hAnsi="仿宋_GB2312" w:eastAsia="仿宋_GB2312" w:cs="仿宋_GB2312"/>
          <w:sz w:val="32"/>
          <w:szCs w:val="32"/>
        </w:rPr>
      </w:pPr>
    </w:p>
    <w:p w14:paraId="77677219">
      <w:pPr>
        <w:ind w:firstLine="640" w:firstLineChars="200"/>
        <w:rPr>
          <w:rFonts w:ascii="仿宋_GB2312" w:hAnsi="仿宋_GB2312" w:eastAsia="仿宋_GB2312" w:cs="仿宋_GB2312"/>
          <w:sz w:val="32"/>
          <w:szCs w:val="32"/>
        </w:rPr>
      </w:pPr>
    </w:p>
    <w:p w14:paraId="5F843C10">
      <w:pPr>
        <w:rPr>
          <w:rFonts w:ascii="楷体_GB2312" w:hAnsi="楷体_GB2312" w:eastAsia="楷体_GB2312" w:cs="楷体_GB2312"/>
          <w:sz w:val="32"/>
          <w:szCs w:val="32"/>
        </w:rPr>
      </w:pPr>
    </w:p>
    <w:p w14:paraId="64E31B2D">
      <w:pPr>
        <w:rPr>
          <w:rFonts w:ascii="楷体_GB2312" w:hAnsi="楷体_GB2312" w:eastAsia="楷体_GB2312" w:cs="楷体_GB2312"/>
          <w:sz w:val="32"/>
          <w:szCs w:val="32"/>
        </w:rPr>
      </w:pPr>
    </w:p>
    <w:p w14:paraId="2A7A121F">
      <w:pPr>
        <w:rPr>
          <w:rFonts w:ascii="楷体_GB2312" w:hAnsi="楷体_GB2312" w:eastAsia="楷体_GB2312" w:cs="楷体_GB2312"/>
          <w:sz w:val="32"/>
          <w:szCs w:val="32"/>
        </w:rPr>
      </w:pPr>
    </w:p>
    <w:p w14:paraId="67002400">
      <w:pPr>
        <w:rPr>
          <w:rFonts w:ascii="楷体_GB2312" w:hAnsi="楷体_GB2312" w:eastAsia="楷体_GB2312" w:cs="楷体_GB2312"/>
          <w:sz w:val="32"/>
          <w:szCs w:val="32"/>
        </w:rPr>
      </w:pPr>
    </w:p>
    <w:p w14:paraId="37FC5063">
      <w:pPr>
        <w:rPr>
          <w:rFonts w:ascii="楷体_GB2312" w:hAnsi="楷体_GB2312" w:eastAsia="楷体_GB2312" w:cs="楷体_GB2312"/>
          <w:sz w:val="32"/>
          <w:szCs w:val="32"/>
        </w:rPr>
      </w:pPr>
    </w:p>
    <w:p w14:paraId="1E4E1866">
      <w:pPr>
        <w:rPr>
          <w:rFonts w:ascii="楷体_GB2312" w:hAnsi="楷体_GB2312" w:eastAsia="楷体_GB2312" w:cs="楷体_GB2312"/>
          <w:sz w:val="32"/>
          <w:szCs w:val="32"/>
        </w:rPr>
      </w:pPr>
    </w:p>
    <w:p w14:paraId="301BE4F0">
      <w:pPr>
        <w:rPr>
          <w:rFonts w:ascii="楷体_GB2312" w:hAnsi="楷体_GB2312" w:eastAsia="楷体_GB2312" w:cs="楷体_GB2312"/>
          <w:sz w:val="32"/>
          <w:szCs w:val="32"/>
        </w:rPr>
      </w:pPr>
    </w:p>
    <w:p w14:paraId="476578E6">
      <w:pPr>
        <w:rPr>
          <w:rFonts w:ascii="楷体_GB2312" w:hAnsi="楷体_GB2312" w:eastAsia="楷体_GB2312" w:cs="楷体_GB2312"/>
          <w:sz w:val="32"/>
          <w:szCs w:val="32"/>
        </w:rPr>
      </w:pPr>
    </w:p>
    <w:p w14:paraId="5C361990">
      <w:pPr>
        <w:rPr>
          <w:rFonts w:ascii="楷体_GB2312" w:hAnsi="楷体_GB2312" w:eastAsia="楷体_GB2312" w:cs="楷体_GB2312"/>
          <w:sz w:val="32"/>
          <w:szCs w:val="32"/>
        </w:rPr>
      </w:pPr>
    </w:p>
    <w:p w14:paraId="0F9E6789">
      <w:pPr>
        <w:rPr>
          <w:rFonts w:ascii="楷体_GB2312" w:hAnsi="楷体_GB2312" w:eastAsia="楷体_GB2312" w:cs="楷体_GB2312"/>
          <w:sz w:val="32"/>
          <w:szCs w:val="32"/>
        </w:rPr>
      </w:pPr>
      <w:r>
        <w:rPr>
          <w:rFonts w:hint="eastAsia" w:ascii="楷体_GB2312" w:hAnsi="楷体_GB2312" w:eastAsia="楷体_GB2312" w:cs="楷体_GB2312"/>
          <w:sz w:val="32"/>
          <w:szCs w:val="32"/>
        </w:rPr>
        <w:t>提案编号:064</w:t>
      </w:r>
    </w:p>
    <w:p w14:paraId="48642470">
      <w:pPr>
        <w:widowControl/>
        <w:spacing w:line="560" w:lineRule="exact"/>
        <w:ind w:left="1600" w:hanging="1600" w:hangingChars="500"/>
        <w:jc w:val="left"/>
        <w:rPr>
          <w:rFonts w:ascii="楷体_GB2312" w:hAnsi="方正小标宋简体" w:eastAsia="楷体_GB2312" w:cs="方正小标宋简体"/>
          <w:kern w:val="0"/>
          <w:sz w:val="32"/>
          <w:szCs w:val="32"/>
          <w:lang w:bidi="ar"/>
        </w:rPr>
      </w:pPr>
      <w:r>
        <w:rPr>
          <w:rFonts w:hint="eastAsia" w:ascii="楷体_GB2312" w:hAnsi="楷体_GB2312" w:eastAsia="楷体_GB2312" w:cs="楷体_GB2312"/>
          <w:sz w:val="32"/>
          <w:szCs w:val="32"/>
        </w:rPr>
        <w:t>提案名称:</w:t>
      </w:r>
      <w:r>
        <w:rPr>
          <w:rFonts w:hint="eastAsia" w:ascii="楷体_GB2312" w:hAnsi="方正小标宋简体" w:eastAsia="楷体_GB2312" w:cs="方正小标宋简体"/>
          <w:kern w:val="0"/>
          <w:sz w:val="32"/>
          <w:szCs w:val="32"/>
          <w:lang w:bidi="ar"/>
        </w:rPr>
        <w:t>关于构建环境卫生整治长效机制助力美丽乡村建设的提案</w:t>
      </w:r>
    </w:p>
    <w:p w14:paraId="6CDB253B">
      <w:pPr>
        <w:rPr>
          <w:rFonts w:ascii="楷体_GB2312" w:hAnsi="楷体" w:eastAsia="楷体_GB2312" w:cs="仿宋_GB2312"/>
          <w:bCs/>
          <w:color w:val="000000" w:themeColor="text1"/>
          <w:spacing w:val="-17"/>
          <w:sz w:val="32"/>
          <w:szCs w:val="32"/>
          <w14:textFill>
            <w14:solidFill>
              <w14:schemeClr w14:val="tx1"/>
            </w14:solidFill>
          </w14:textFill>
        </w:rPr>
      </w:pPr>
      <w:r>
        <w:rPr>
          <w:rFonts w:hint="eastAsia" w:ascii="楷体_GB2312" w:hAnsi="楷体_GB2312" w:eastAsia="楷体_GB2312" w:cs="楷体_GB2312"/>
          <w:sz w:val="32"/>
          <w:szCs w:val="32"/>
        </w:rPr>
        <w:t>提 案 人:</w:t>
      </w:r>
      <w:r>
        <w:rPr>
          <w:rFonts w:hint="eastAsia" w:ascii="楷体_GB2312" w:hAnsi="楷体" w:eastAsia="楷体_GB2312" w:cs="仿宋_GB2312"/>
          <w:bCs/>
          <w:color w:val="000000" w:themeColor="text1"/>
          <w:spacing w:val="-17"/>
          <w:sz w:val="32"/>
          <w:szCs w:val="32"/>
          <w14:textFill>
            <w14:solidFill>
              <w14:schemeClr w14:val="tx1"/>
            </w14:solidFill>
          </w14:textFill>
        </w:rPr>
        <w:t xml:space="preserve"> 王在位 </w:t>
      </w:r>
      <w:r>
        <w:rPr>
          <w:rFonts w:hint="eastAsia" w:ascii="楷体_GB2312" w:hAnsi="楷体_GB2312" w:eastAsia="楷体_GB2312" w:cs="楷体"/>
          <w:sz w:val="32"/>
          <w:szCs w:val="32"/>
        </w:rPr>
        <w:t>项一帆 张军</w:t>
      </w:r>
    </w:p>
    <w:p w14:paraId="2724CC25">
      <w:pPr>
        <w:spacing w:line="560" w:lineRule="exact"/>
        <w:jc w:val="left"/>
        <w:rPr>
          <w:rFonts w:ascii="楷体_GB2312" w:hAnsi="楷体_GB2312" w:eastAsia="楷体_GB2312" w:cs="楷体"/>
          <w:sz w:val="32"/>
          <w:szCs w:val="32"/>
        </w:rPr>
      </w:pPr>
      <w:r>
        <w:rPr>
          <w:rFonts w:hint="eastAsia" w:ascii="楷体_GB2312" w:hAnsi="楷体_GB2312" w:eastAsia="楷体_GB2312" w:cs="楷体_GB2312"/>
          <w:sz w:val="32"/>
          <w:szCs w:val="32"/>
        </w:rPr>
        <w:t xml:space="preserve">联系方式：18304877030 </w:t>
      </w:r>
      <w:r>
        <w:rPr>
          <w:rFonts w:ascii="楷体_GB2312" w:hAnsi="楷体_GB2312" w:eastAsia="楷体_GB2312" w:cs="楷体"/>
          <w:sz w:val="32"/>
          <w:szCs w:val="32"/>
        </w:rPr>
        <w:t>19975537443</w:t>
      </w:r>
      <w:r>
        <w:rPr>
          <w:rFonts w:hint="eastAsia" w:ascii="楷体_GB2312" w:hAnsi="楷体_GB2312" w:eastAsia="楷体_GB2312" w:cs="楷体"/>
          <w:sz w:val="32"/>
          <w:szCs w:val="32"/>
        </w:rPr>
        <w:t xml:space="preserve"> </w:t>
      </w:r>
      <w:r>
        <w:rPr>
          <w:rFonts w:ascii="楷体_GB2312" w:hAnsi="楷体_GB2312" w:eastAsia="楷体_GB2312" w:cs="楷体"/>
          <w:sz w:val="32"/>
          <w:szCs w:val="32"/>
        </w:rPr>
        <w:t>18603175177</w:t>
      </w:r>
    </w:p>
    <w:p w14:paraId="77AAA6F5">
      <w:pPr>
        <w:spacing w:line="560" w:lineRule="exact"/>
        <w:jc w:val="left"/>
        <w:rPr>
          <w:rFonts w:ascii="楷体_GB2312" w:hAnsi="楷体_GB2312" w:eastAsia="楷体_GB2312" w:cs="楷体"/>
          <w:sz w:val="32"/>
          <w:szCs w:val="32"/>
        </w:rPr>
      </w:pPr>
      <w:r>
        <w:rPr>
          <w:rFonts w:hint="eastAsia" w:ascii="楷体_GB2312" w:hAnsi="楷体_GB2312" w:eastAsia="楷体_GB2312" w:cs="楷体_GB2312"/>
          <w:sz w:val="32"/>
          <w:szCs w:val="32"/>
        </w:rPr>
        <w:t>界    别:</w:t>
      </w:r>
      <w:r>
        <w:rPr>
          <w:rFonts w:hint="eastAsia" w:ascii="楷体_GB2312" w:hAnsi="楷体" w:eastAsia="楷体_GB2312" w:cs="仿宋_GB2312"/>
          <w:bCs/>
          <w:color w:val="000000" w:themeColor="text1"/>
          <w:spacing w:val="-17"/>
          <w:sz w:val="32"/>
          <w:szCs w:val="32"/>
          <w14:textFill>
            <w14:solidFill>
              <w14:schemeClr w14:val="tx1"/>
            </w14:solidFill>
          </w14:textFill>
        </w:rPr>
        <w:t xml:space="preserve"> 社会保障和社会福利 </w:t>
      </w:r>
      <w:r>
        <w:rPr>
          <w:rFonts w:hint="eastAsia" w:ascii="楷体_GB2312" w:hAnsi="楷体_GB2312" w:eastAsia="楷体_GB2312" w:cs="楷体"/>
          <w:sz w:val="32"/>
          <w:szCs w:val="32"/>
        </w:rPr>
        <w:t>中国共产党 医药卫生</w:t>
      </w:r>
    </w:p>
    <w:p w14:paraId="784B0BD0">
      <w:pPr>
        <w:widowControl/>
        <w:spacing w:line="560" w:lineRule="exact"/>
        <w:jc w:val="center"/>
        <w:rPr>
          <w:rFonts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关于构建环境卫生整治长效机制助力美丽乡村建设的提案</w:t>
      </w:r>
    </w:p>
    <w:p w14:paraId="4F7133F3">
      <w:pPr>
        <w:spacing w:line="560" w:lineRule="exact"/>
        <w:ind w:firstLine="640" w:firstLineChars="200"/>
        <w:rPr>
          <w:rFonts w:ascii="仿宋_GB2312" w:hAnsi="仿宋_GB2312" w:eastAsia="仿宋_GB2312" w:cs="仿宋_GB2312"/>
          <w:sz w:val="32"/>
          <w:szCs w:val="32"/>
        </w:rPr>
      </w:pPr>
    </w:p>
    <w:p w14:paraId="17B7116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党的二十大报告指出，“全面建设社会主义现代化国家，最艰巨最繁重的任务仍然在农村”，明确要求“全面推进乡村振兴”“建设宜居宜业和美乡村”。美丽乡村五大目标将“村容整洁”列为目标之一，乡村振兴五大目标则提出了“生态宜居、乡风文明、治理有效”的具体要求。农村人居环境整治是提升农村生活品质的重要途径，更是实现乡村振兴规划的基础，抓好农村人居环境整治意义重大。</w:t>
      </w:r>
    </w:p>
    <w:p w14:paraId="4207E438">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一、发展现状</w:t>
      </w:r>
    </w:p>
    <w:p w14:paraId="2DC548C0">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年，我旗实施了农村环境卫生整治的一系列举措。积极推进厕所革命，2024年我旗新建农村卫生厕所760户，其中：水厕225户，旱厕535户，投入资金219.25万元；积极开展村庄清洁行动，全旗11个乡镇街道161个行政村全部开展了村庄清洁行动，发放宣传资料61482份，共清理农村生活垃圾79875吨、水塘47口、沟渠275.6公里，清理畜禽养殖粪污等农牧业生产废弃物23657吨。全旗农村村容村貌得到了明显改善。</w:t>
      </w:r>
    </w:p>
    <w:p w14:paraId="33C05862">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二、存在的问题</w:t>
      </w:r>
    </w:p>
    <w:p w14:paraId="3AC334FE">
      <w:pPr>
        <w:pStyle w:val="11"/>
        <w:widowControl/>
        <w:spacing w:beforeAutospacing="0" w:afterAutospacing="0" w:line="560" w:lineRule="exact"/>
        <w:ind w:firstLine="490"/>
        <w:jc w:val="both"/>
        <w:rPr>
          <w:rFonts w:ascii="Times New Roman" w:eastAsia="仿宋_GB2312" w:cstheme="minorBidi"/>
          <w:bCs/>
          <w:kern w:val="2"/>
          <w:sz w:val="32"/>
          <w:szCs w:val="32"/>
        </w:rPr>
      </w:pPr>
      <w:r>
        <w:rPr>
          <w:rFonts w:hint="eastAsia" w:ascii="Times New Roman" w:eastAsia="仿宋_GB2312" w:cstheme="minorBidi"/>
          <w:b/>
          <w:bCs/>
          <w:kern w:val="2"/>
          <w:sz w:val="32"/>
          <w:szCs w:val="32"/>
        </w:rPr>
        <w:t xml:space="preserve"> </w:t>
      </w:r>
      <w:r>
        <w:rPr>
          <w:rFonts w:hint="eastAsia" w:ascii="Times New Roman" w:eastAsia="仿宋_GB2312" w:cstheme="minorBidi"/>
          <w:bCs/>
          <w:kern w:val="2"/>
          <w:sz w:val="32"/>
          <w:szCs w:val="32"/>
        </w:rPr>
        <w:t>我旗在农村环境卫生整治中付出了诸多努力，也取得了明显成效，但与美丽乡村的目标和预期还有一定差距，主要表现在：</w:t>
      </w:r>
    </w:p>
    <w:p w14:paraId="76C8795C">
      <w:pPr>
        <w:pStyle w:val="11"/>
        <w:widowControl/>
        <w:spacing w:beforeAutospacing="0" w:afterAutospacing="0" w:line="560" w:lineRule="exact"/>
        <w:ind w:firstLine="490"/>
        <w:jc w:val="both"/>
        <w:rPr>
          <w:rFonts w:ascii="Times New Roman" w:eastAsia="仿宋_GB2312" w:cstheme="minorBidi"/>
          <w:kern w:val="2"/>
          <w:sz w:val="32"/>
          <w:szCs w:val="32"/>
        </w:rPr>
      </w:pPr>
      <w:r>
        <w:rPr>
          <w:rFonts w:hint="eastAsia" w:ascii="楷体_GB2312" w:hAnsi="楷体_GB2312" w:eastAsia="楷体_GB2312" w:cs="楷体_GB2312"/>
          <w:kern w:val="2"/>
          <w:sz w:val="32"/>
          <w:szCs w:val="32"/>
        </w:rPr>
        <w:t>（一）群众参与积极性不高。</w:t>
      </w:r>
      <w:r>
        <w:rPr>
          <w:rFonts w:hint="eastAsia" w:ascii="Times New Roman" w:eastAsia="仿宋_GB2312" w:cstheme="minorBidi"/>
          <w:kern w:val="2"/>
          <w:sz w:val="32"/>
          <w:szCs w:val="32"/>
        </w:rPr>
        <w:t>从调研情况来看，部分农民群众思维固化、僵化，对农村人居环境整治的认知度和重要性认识不高，存在认知偏差；主人翁意识不强，认为农村人居环境整治是政府行为，与自己无关，特别是部分群众存在利益取向问题，把农村人居环境整治与个人利益捆绑在一起，无利不出工，缺乏积极性，参与性不强。</w:t>
      </w:r>
    </w:p>
    <w:p w14:paraId="17F05C5E">
      <w:pPr>
        <w:pStyle w:val="11"/>
        <w:widowControl/>
        <w:spacing w:beforeAutospacing="0" w:afterAutospacing="0" w:line="560" w:lineRule="exact"/>
        <w:ind w:firstLine="490"/>
        <w:jc w:val="both"/>
        <w:rPr>
          <w:rFonts w:ascii="Times New Roman" w:eastAsia="仿宋_GB2312" w:cstheme="minorBidi"/>
          <w:kern w:val="2"/>
          <w:sz w:val="32"/>
          <w:szCs w:val="32"/>
        </w:rPr>
      </w:pPr>
      <w:r>
        <w:rPr>
          <w:rFonts w:hint="eastAsia" w:ascii="楷体_GB2312" w:hAnsi="楷体_GB2312" w:eastAsia="楷体_GB2312" w:cs="楷体_GB2312"/>
          <w:kern w:val="2"/>
          <w:sz w:val="32"/>
          <w:szCs w:val="32"/>
        </w:rPr>
        <w:t>（二）环境整治效果不明显。</w:t>
      </w:r>
      <w:r>
        <w:rPr>
          <w:rFonts w:hint="eastAsia" w:ascii="Times New Roman" w:eastAsia="仿宋_GB2312" w:cstheme="minorBidi"/>
          <w:kern w:val="2"/>
          <w:sz w:val="32"/>
          <w:szCs w:val="32"/>
        </w:rPr>
        <w:t>部分农户受生活习惯影响，自觉维护环境的主动性不强，乱搭乱建、乱扔垃圾、随意排放生活污水、露天养殖等行为依然存在，农村环境整治难以达到预期效果。“干部干、群众看”的现象时有发生，群众积极性不高，在改造工作中投工投劳意愿不强，进而影响农村环境整治效果。</w:t>
      </w:r>
    </w:p>
    <w:p w14:paraId="057CCC74">
      <w:pPr>
        <w:pStyle w:val="11"/>
        <w:widowControl/>
        <w:spacing w:beforeAutospacing="0" w:afterAutospacing="0" w:line="560" w:lineRule="exact"/>
        <w:ind w:firstLine="490"/>
        <w:jc w:val="both"/>
      </w:pPr>
      <w:r>
        <w:rPr>
          <w:rFonts w:hint="eastAsia" w:ascii="楷体_GB2312" w:hAnsi="楷体_GB2312" w:eastAsia="楷体_GB2312" w:cs="楷体_GB2312"/>
          <w:kern w:val="2"/>
          <w:sz w:val="32"/>
          <w:szCs w:val="32"/>
        </w:rPr>
        <w:t>（三）环境整治资金不充分。</w:t>
      </w:r>
      <w:r>
        <w:rPr>
          <w:rFonts w:hint="eastAsia" w:ascii="Times New Roman" w:eastAsia="仿宋_GB2312" w:cstheme="minorBidi"/>
          <w:kern w:val="2"/>
          <w:sz w:val="32"/>
          <w:szCs w:val="32"/>
        </w:rPr>
        <w:t>目前，资金投入主体以政府为主，财政投入有限，尤其是乡镇财力不足，与农村“五治”实际所需存在较大的资金缺口。</w:t>
      </w:r>
    </w:p>
    <w:p w14:paraId="4384A3CA">
      <w:pPr>
        <w:pStyle w:val="11"/>
        <w:widowControl/>
        <w:spacing w:beforeAutospacing="0" w:afterAutospacing="0" w:line="560" w:lineRule="exact"/>
        <w:ind w:firstLine="490"/>
        <w:jc w:val="both"/>
      </w:pPr>
      <w:r>
        <w:rPr>
          <w:rFonts w:hint="eastAsia" w:ascii="楷体_GB2312" w:hAnsi="楷体_GB2312" w:eastAsia="楷体_GB2312" w:cs="楷体_GB2312"/>
          <w:kern w:val="2"/>
          <w:sz w:val="32"/>
          <w:szCs w:val="32"/>
        </w:rPr>
        <w:t>（四）农村“五治”运营管护难。</w:t>
      </w:r>
      <w:r>
        <w:rPr>
          <w:rFonts w:hint="eastAsia" w:ascii="Times New Roman" w:eastAsia="仿宋_GB2312" w:cstheme="minorBidi"/>
          <w:kern w:val="2"/>
          <w:sz w:val="32"/>
          <w:szCs w:val="32"/>
        </w:rPr>
        <w:t>由于主体责任缺位或空位、管护机制不完善、保障缺失、队伍建设不足等因素，农村“五治”存在后续管护难问题，严重影响到治理效果和项目长期化运营。</w:t>
      </w:r>
    </w:p>
    <w:p w14:paraId="7C81AB5F">
      <w:pPr>
        <w:pStyle w:val="11"/>
        <w:widowControl/>
        <w:spacing w:beforeAutospacing="0" w:afterAutospacing="0" w:line="560" w:lineRule="exact"/>
        <w:ind w:firstLine="490"/>
        <w:jc w:val="both"/>
      </w:pPr>
      <w:r>
        <w:rPr>
          <w:rFonts w:hint="eastAsia" w:ascii="楷体_GB2312" w:hAnsi="楷体_GB2312" w:eastAsia="楷体_GB2312" w:cs="楷体_GB2312"/>
          <w:kern w:val="2"/>
          <w:sz w:val="32"/>
          <w:szCs w:val="32"/>
        </w:rPr>
        <w:t>（五）社会力量参与度较低。</w:t>
      </w:r>
      <w:r>
        <w:rPr>
          <w:rFonts w:hint="eastAsia" w:ascii="Times New Roman" w:eastAsia="仿宋_GB2312" w:cstheme="minorBidi"/>
          <w:kern w:val="2"/>
          <w:sz w:val="32"/>
          <w:szCs w:val="32"/>
        </w:rPr>
        <w:t>现实情况表明，农村“五治”主要依靠政府部门、广大农民群众和部分新时代文明实践站志愿者，同时引导部分企业等社会力量来推动农村“五治”，但受利益导向、未来预期、市场风险等多种因素影响，社会力量参与意愿不强，积极性不高。</w:t>
      </w:r>
    </w:p>
    <w:p w14:paraId="7FA2ACC7">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三、几点建议</w:t>
      </w:r>
    </w:p>
    <w:p w14:paraId="4895F5BD">
      <w:pPr>
        <w:pStyle w:val="11"/>
        <w:widowControl/>
        <w:spacing w:beforeAutospacing="0" w:after="100" w:afterAutospacing="0" w:line="560" w:lineRule="exact"/>
        <w:ind w:firstLine="490"/>
        <w:jc w:val="both"/>
        <w:rPr>
          <w:rFonts w:ascii="仿宋_GB2312" w:hAnsi="仿宋_GB2312" w:eastAsia="仿宋_GB2312" w:cs="仿宋_GB2312"/>
          <w:sz w:val="32"/>
          <w:szCs w:val="32"/>
        </w:rPr>
      </w:pPr>
      <w:r>
        <w:rPr>
          <w:rFonts w:hint="eastAsia" w:ascii="楷体_GB2312" w:hAnsi="楷体_GB2312" w:eastAsia="楷体_GB2312" w:cs="楷体_GB2312"/>
          <w:kern w:val="2"/>
          <w:sz w:val="32"/>
          <w:szCs w:val="32"/>
        </w:rPr>
        <w:t>（一）畅通渠道，汇聚民声，广泛听取群众建议。</w:t>
      </w:r>
      <w:r>
        <w:rPr>
          <w:rFonts w:hint="eastAsia" w:ascii="仿宋_GB2312" w:hAnsi="仿宋_GB2312" w:eastAsia="仿宋_GB2312" w:cs="仿宋_GB2312"/>
          <w:sz w:val="32"/>
          <w:szCs w:val="32"/>
          <w:shd w:val="clear" w:color="auto" w:fill="FFFFFF"/>
        </w:rPr>
        <w:t>设立民意收集点和意见箱，搭建民声民意便捷通道，推进农民群众问题反映常态化。设群众意见收集员，专门负责整治清单和问题信息的收集、记录和梳理，并及时跟进处理；通过定期、不定期召开联户会、村民代表会、进村入户等方式找问题、盯“痛点”，广泛了解工作现状，收集群众意见，掌握群众所想、所需，解决群众所忧、所盼；开展常态化巡查，查变动、找问题、集诉求，广泛收集社情民意。村“两委”和相关部门专职人员对农村“五治”突出问题建立台账，逐项跟进，及时向上级部门反映，全程把控发展动态。</w:t>
      </w:r>
    </w:p>
    <w:p w14:paraId="1BD0040D">
      <w:pPr>
        <w:pStyle w:val="11"/>
        <w:widowControl/>
        <w:spacing w:beforeAutospacing="0" w:after="100" w:afterAutospacing="0" w:line="560" w:lineRule="exact"/>
        <w:ind w:firstLine="490"/>
        <w:jc w:val="both"/>
        <w:rPr>
          <w:rFonts w:ascii="仿宋_GB2312" w:hAnsi="仿宋_GB2312" w:eastAsia="仿宋_GB2312" w:cs="仿宋_GB2312"/>
          <w:sz w:val="32"/>
          <w:szCs w:val="32"/>
          <w:shd w:val="clear" w:color="auto" w:fill="FFFFFF"/>
        </w:rPr>
      </w:pPr>
      <w:r>
        <w:rPr>
          <w:rFonts w:hint="eastAsia" w:ascii="楷体_GB2312" w:hAnsi="楷体_GB2312" w:eastAsia="楷体_GB2312" w:cs="楷体_GB2312"/>
          <w:kern w:val="2"/>
          <w:sz w:val="32"/>
          <w:szCs w:val="32"/>
        </w:rPr>
        <w:t>（二）跟踪问效，加强反馈，增强“五治”工作实效。</w:t>
      </w:r>
      <w:r>
        <w:rPr>
          <w:rFonts w:hint="eastAsia" w:ascii="仿宋_GB2312" w:hAnsi="仿宋_GB2312" w:eastAsia="仿宋_GB2312" w:cs="仿宋_GB2312"/>
          <w:sz w:val="32"/>
          <w:szCs w:val="32"/>
          <w:shd w:val="clear" w:color="auto" w:fill="FFFFFF"/>
        </w:rPr>
        <w:t>提高农村“五治”质量，跟踪农村“五治”决策实施、建设过程、项目质量、治理效果、问题整改、群众满意度等各个环节，可以优化政策，改进措施，提升质效。首先，打造旗、乡镇街、村民委员会三级跟踪反馈体系，打造协同配合、齐抓共管、各有侧重、互为补充的运行链条，将其作为改进农村“五治”工作的重要依据。其次，建立并持续更新信息数据库。通过定期采集农村“五治”全过程、全领域的相关信息，建立相关数据库，搭建起一个数据互动、高效运行的网络平台，实现数据共享，实时更新，满足各项工作需求。</w:t>
      </w:r>
    </w:p>
    <w:p w14:paraId="07DCC34C">
      <w:pPr>
        <w:pStyle w:val="11"/>
        <w:widowControl/>
        <w:spacing w:beforeAutospacing="0" w:after="100" w:afterAutospacing="0" w:line="560" w:lineRule="exact"/>
        <w:ind w:firstLine="490"/>
        <w:jc w:val="both"/>
        <w:rPr>
          <w:rFonts w:ascii="仿宋_GB2312" w:hAnsi="仿宋_GB2312" w:eastAsia="仿宋_GB2312" w:cs="仿宋_GB2312"/>
          <w:sz w:val="32"/>
          <w:szCs w:val="32"/>
          <w:shd w:val="clear" w:color="auto" w:fill="FFFFFF"/>
        </w:rPr>
      </w:pPr>
      <w:r>
        <w:rPr>
          <w:rFonts w:hint="eastAsia" w:ascii="楷体_GB2312" w:hAnsi="楷体_GB2312" w:eastAsia="楷体_GB2312" w:cs="楷体_GB2312"/>
          <w:kern w:val="2"/>
          <w:sz w:val="32"/>
          <w:szCs w:val="32"/>
        </w:rPr>
        <w:t>（三）协同联动，共建共享，形成“五治”叠加合力。</w:t>
      </w:r>
      <w:r>
        <w:rPr>
          <w:rFonts w:hint="eastAsia" w:ascii="仿宋_GB2312" w:hAnsi="仿宋_GB2312" w:eastAsia="仿宋_GB2312" w:cs="仿宋_GB2312"/>
          <w:sz w:val="32"/>
          <w:szCs w:val="32"/>
          <w:shd w:val="clear" w:color="auto" w:fill="FFFFFF"/>
        </w:rPr>
        <w:t>打赢农村“五治”这场民生攻坚战，单靠政府部门难以有效完成，需动员全社会力量共同参与，形成各方力量协同联动、共同助力的良好格局，由政府“独角戏”变成社会“大合唱”。一要推动上下协同联动。要构建旗、乡（镇）、村三级联动体系，上下协同，着力在联席会议、信息共享、联合查办、协作执行、联合培训、资源保障等方面做到统筹协调，努力推动各项工作落地落实落细。二要推动横向协同联动。旗直、乡（镇）职能部门、社会机构要加强交流协作，定期对“五治”项目建设、后期管理和长效运营进行统筹商议、深化信息沟通、加强协调服务、共同查摆问题，解决问题难题，不断提升人居环境整治的传动能力。三要形成“内外”联动局面。积极搭建共商共建共享平台，引导社会各方力量参与“五治”项目建设、管理和运营；努力破除资金瓶颈，在加大财政资金投入的同时，积极争取专项资金支持，鼓励国有企业、私营企业、私人资本等参与治房、治垃圾和商业项目建设，最大程度推动社会参与，以弥补财政资金不足不够的问题。</w:t>
      </w:r>
    </w:p>
    <w:p w14:paraId="46B7C586">
      <w:pPr>
        <w:pStyle w:val="11"/>
        <w:widowControl/>
        <w:spacing w:beforeAutospacing="0" w:after="100" w:afterAutospacing="0" w:line="560" w:lineRule="exact"/>
        <w:ind w:firstLine="490"/>
        <w:jc w:val="both"/>
        <w:rPr>
          <w:rFonts w:ascii="仿宋_GB2312" w:hAnsi="仿宋_GB2312" w:eastAsia="仿宋_GB2312" w:cs="仿宋_GB2312"/>
          <w:sz w:val="32"/>
          <w:szCs w:val="32"/>
        </w:rPr>
      </w:pPr>
      <w:r>
        <w:rPr>
          <w:rFonts w:hint="eastAsia" w:ascii="楷体_GB2312" w:hAnsi="楷体_GB2312" w:eastAsia="楷体_GB2312" w:cs="楷体_GB2312"/>
          <w:kern w:val="2"/>
          <w:sz w:val="32"/>
          <w:szCs w:val="32"/>
        </w:rPr>
        <w:t>（四）强化激励，激发动力，综合施策破解难题。</w:t>
      </w:r>
      <w:r>
        <w:rPr>
          <w:rFonts w:hint="eastAsia" w:ascii="仿宋_GB2312" w:hAnsi="仿宋_GB2312" w:eastAsia="仿宋_GB2312" w:cs="仿宋_GB2312"/>
          <w:sz w:val="32"/>
          <w:szCs w:val="32"/>
          <w:shd w:val="clear" w:color="auto" w:fill="FFFFFF"/>
        </w:rPr>
        <w:t>一是积极探索积分奖励机制，建立由乡镇（街道）、村民委员会、村民组长、村民代表组成的评审组，科学设立评分标准和细则，每月对农户治房、治水、治垃圾、治厕、治风、五个方面开展积分评定，划定等次，评定农户“五治”效果。比如建立农村“五治”积分超市和可回收垃圾与积分联结制度，村民把可回收垃圾送到积分超市，凭积分可兑换大米、食用油、洗衣液、纸巾等生活用品，让农民群众从“五治”中得实惠。二是建立正向激励制度，将农户“五治”效果张榜通报。同时对上榜农户进行月评分、月评定，对红榜农户每季度和年终进行集中兑换奖励。三是建立考评结果与村集体经济分红利益联结机制，实施农村“五治”积分与集体经济分红挂钩，依据积分高低划定不同分红等级。依托乡镇财政、平台公司、关联企业、村集体经济等加大经费投入，强化经费保障，解决农村积分兑换资金需求，为机制运行提供物质支撑。四是定期开展农村“五治”文明村民评选活动，以考核评选激励村民，以表彰奖励督促后进，引导村民从“要我干”变成“我要干”，以文明乡风促习俗转变。</w:t>
      </w:r>
    </w:p>
    <w:p w14:paraId="4DF1D704">
      <w:pPr>
        <w:pStyle w:val="11"/>
        <w:widowControl/>
        <w:spacing w:beforeAutospacing="0" w:after="100" w:afterAutospacing="0" w:line="560" w:lineRule="exact"/>
        <w:ind w:firstLine="490"/>
        <w:jc w:val="both"/>
        <w:rPr>
          <w:rFonts w:ascii="仿宋_GB2312" w:hAnsi="仿宋_GB2312" w:eastAsia="仿宋_GB2312" w:cs="仿宋_GB2312"/>
          <w:sz w:val="32"/>
          <w:szCs w:val="32"/>
        </w:rPr>
      </w:pPr>
      <w:r>
        <w:rPr>
          <w:rFonts w:hint="eastAsia" w:ascii="楷体_GB2312" w:hAnsi="楷体_GB2312" w:eastAsia="楷体_GB2312" w:cs="楷体_GB2312"/>
          <w:kern w:val="2"/>
          <w:sz w:val="32"/>
          <w:szCs w:val="32"/>
        </w:rPr>
        <w:t>（五）加强教育，提高认知，潜移默化提升民质。</w:t>
      </w:r>
      <w:r>
        <w:rPr>
          <w:rFonts w:hint="eastAsia" w:ascii="仿宋_GB2312" w:hAnsi="仿宋_GB2312" w:eastAsia="仿宋_GB2312" w:cs="仿宋_GB2312"/>
          <w:sz w:val="32"/>
          <w:szCs w:val="32"/>
          <w:shd w:val="clear" w:color="auto" w:fill="FFFFFF"/>
        </w:rPr>
        <w:t>开展内容丰富、形式多样的宣传教育活动，以生动活泼、喜闻乐见的方式吸引群众参与到美丽乡村建设中来。一要做实线下宣传工作。通过进村入户、宣传标语、印发小册子、现场咨询、志愿服务活动等形式宣传相关政策，提高农民群众的参与度和支持率；二要做好线上宣传，充分利用电视、微信公众号等传统和新兴媒体传递农村“五治”信息，引导农民群众线上学习相关政策、知识，不断提高对农村“五治”的认知能力。三要加大先进人物和典型事迹的宣传力度，扩大榜样力量和示范效应，增强群众参与农村“五治”的思想自觉和行动自觉。</w:t>
      </w:r>
    </w:p>
    <w:p w14:paraId="749451DE">
      <w:pPr>
        <w:rPr>
          <w:rFonts w:ascii="楷体_GB2312" w:hAnsi="方正楷体_GB2312" w:eastAsia="楷体_GB2312" w:cs="方正楷体_GB2312"/>
          <w:sz w:val="32"/>
          <w:szCs w:val="32"/>
        </w:rPr>
      </w:pPr>
      <w:r>
        <w:rPr>
          <w:rFonts w:hint="eastAsia" w:ascii="楷体_GB2312" w:hAnsi="方正楷体_GB2312" w:eastAsia="楷体_GB2312" w:cs="方正楷体_GB2312"/>
          <w:sz w:val="32"/>
          <w:szCs w:val="32"/>
        </w:rPr>
        <w:t>提案编号：065</w:t>
      </w:r>
    </w:p>
    <w:p w14:paraId="574B706A">
      <w:pPr>
        <w:rPr>
          <w:rFonts w:ascii="楷体_GB2312" w:hAnsi="方正楷体_GB2312" w:eastAsia="楷体_GB2312" w:cs="方正楷体_GB2312"/>
          <w:sz w:val="32"/>
          <w:szCs w:val="32"/>
        </w:rPr>
      </w:pPr>
      <w:r>
        <w:rPr>
          <w:rFonts w:hint="eastAsia" w:ascii="楷体_GB2312" w:hAnsi="方正楷体_GB2312" w:eastAsia="楷体_GB2312" w:cs="方正楷体_GB2312"/>
          <w:sz w:val="32"/>
          <w:szCs w:val="32"/>
        </w:rPr>
        <w:t>提案名称：关于乡村生活垃圾综合治理和有效利用的提案</w:t>
      </w:r>
    </w:p>
    <w:p w14:paraId="1A63E324">
      <w:pPr>
        <w:rPr>
          <w:rFonts w:ascii="楷体_GB2312" w:hAnsi="方正楷体_GB2312" w:eastAsia="楷体_GB2312" w:cs="方正楷体_GB2312"/>
          <w:sz w:val="32"/>
          <w:szCs w:val="32"/>
        </w:rPr>
      </w:pPr>
      <w:r>
        <w:rPr>
          <w:rFonts w:hint="eastAsia" w:ascii="楷体_GB2312" w:hAnsi="方正楷体_GB2312" w:eastAsia="楷体_GB2312" w:cs="方正楷体_GB2312"/>
          <w:sz w:val="32"/>
          <w:szCs w:val="32"/>
        </w:rPr>
        <w:t>提 案 人：杨树刚</w:t>
      </w:r>
    </w:p>
    <w:p w14:paraId="0F8B9B28">
      <w:pPr>
        <w:rPr>
          <w:rFonts w:ascii="楷体_GB2312" w:hAnsi="方正楷体_GB2312" w:eastAsia="楷体_GB2312" w:cs="方正楷体_GB2312"/>
          <w:sz w:val="32"/>
          <w:szCs w:val="32"/>
        </w:rPr>
      </w:pPr>
      <w:r>
        <w:rPr>
          <w:rFonts w:hint="eastAsia" w:ascii="楷体_GB2312" w:hAnsi="方正楷体_GB2312" w:eastAsia="楷体_GB2312" w:cs="方正楷体_GB2312"/>
          <w:sz w:val="32"/>
          <w:szCs w:val="32"/>
        </w:rPr>
        <w:t>联系方式：15147697777</w:t>
      </w:r>
    </w:p>
    <w:p w14:paraId="6B1A4275">
      <w:pPr>
        <w:rPr>
          <w:rFonts w:ascii="楷体_GB2312" w:hAnsi="方正楷体_GB2312" w:eastAsia="楷体_GB2312" w:cs="方正楷体_GB2312"/>
          <w:sz w:val="32"/>
          <w:szCs w:val="32"/>
        </w:rPr>
      </w:pPr>
      <w:r>
        <w:rPr>
          <w:rFonts w:hint="eastAsia" w:ascii="楷体_GB2312" w:hAnsi="方正楷体_GB2312" w:eastAsia="楷体_GB2312" w:cs="方正楷体_GB2312"/>
          <w:sz w:val="32"/>
          <w:szCs w:val="32"/>
        </w:rPr>
        <w:t>界    别：工商业联合会</w:t>
      </w:r>
    </w:p>
    <w:p w14:paraId="77C6B7EE">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关于乡村生活垃圾综合治理和有效利用的提案</w:t>
      </w:r>
    </w:p>
    <w:p w14:paraId="76245946">
      <w:pPr>
        <w:pStyle w:val="25"/>
        <w:numPr>
          <w:ilvl w:val="0"/>
          <w:numId w:val="17"/>
        </w:numPr>
        <w:ind w:firstLineChars="0"/>
        <w:rPr>
          <w:rFonts w:ascii="黑体" w:hAnsi="黑体" w:eastAsia="黑体" w:cs="方正小标宋简体"/>
          <w:sz w:val="44"/>
          <w:szCs w:val="44"/>
        </w:rPr>
      </w:pPr>
      <w:r>
        <w:rPr>
          <w:rFonts w:hint="eastAsia" w:ascii="黑体" w:hAnsi="黑体" w:eastAsia="黑体"/>
          <w:sz w:val="32"/>
          <w:szCs w:val="32"/>
        </w:rPr>
        <w:t>基本情况</w:t>
      </w:r>
    </w:p>
    <w:p w14:paraId="72C7324F">
      <w:pPr>
        <w:spacing w:line="560" w:lineRule="exact"/>
        <w:rPr>
          <w:rFonts w:ascii="仿宋_GB2312" w:hAnsi="方正仿宋_GB2312" w:eastAsia="仿宋_GB2312" w:cs="方正仿宋_GB2312"/>
          <w:sz w:val="32"/>
          <w:szCs w:val="32"/>
        </w:rPr>
      </w:pPr>
      <w:r>
        <w:rPr>
          <w:rFonts w:hint="eastAsia" w:ascii="仿宋" w:hAnsi="仿宋" w:eastAsia="仿宋" w:cs="仿宋"/>
        </w:rPr>
        <w:t xml:space="preserve">   </w:t>
      </w:r>
      <w:r>
        <w:rPr>
          <w:rFonts w:hint="eastAsia" w:ascii="仿宋" w:hAnsi="仿宋" w:eastAsia="仿宋" w:cs="仿宋"/>
          <w:sz w:val="28"/>
          <w:szCs w:val="28"/>
        </w:rPr>
        <w:t xml:space="preserve">  </w:t>
      </w:r>
      <w:r>
        <w:rPr>
          <w:rFonts w:hint="eastAsia" w:ascii="仿宋_GB2312" w:hAnsi="方正仿宋_GB2312" w:eastAsia="仿宋_GB2312" w:cs="方正仿宋_GB2312"/>
          <w:sz w:val="32"/>
          <w:szCs w:val="32"/>
        </w:rPr>
        <w:t>随着乡村经济的发展和居民生活方式的改变，生活垃圾的产生量日益增多。各类商品包装、快递包裹、废旧电器、一次性用品等的使用增加，使得垃圾的种类和数量都呈现出上升趋势。乡村居民的生活垃圾处理问题已经成为影响美丽乡村和制约乡村振兴的重要因素。</w:t>
      </w:r>
    </w:p>
    <w:p w14:paraId="03B44058">
      <w:pPr>
        <w:spacing w:line="560" w:lineRule="exact"/>
        <w:ind w:firstLine="640" w:firstLineChars="200"/>
        <w:rPr>
          <w:rFonts w:ascii="黑体" w:hAnsi="黑体" w:eastAsia="黑体"/>
          <w:sz w:val="32"/>
          <w:szCs w:val="32"/>
        </w:rPr>
      </w:pPr>
      <w:r>
        <w:rPr>
          <w:rFonts w:hint="eastAsia" w:ascii="黑体" w:hAnsi="黑体" w:eastAsia="黑体" w:cs="方正仿宋_GB2312"/>
          <w:sz w:val="32"/>
          <w:szCs w:val="32"/>
        </w:rPr>
        <w:t>二、</w:t>
      </w:r>
      <w:r>
        <w:rPr>
          <w:rFonts w:hint="eastAsia" w:ascii="黑体" w:hAnsi="黑体" w:eastAsia="黑体"/>
          <w:sz w:val="32"/>
          <w:szCs w:val="32"/>
        </w:rPr>
        <w:t>存在问题</w:t>
      </w:r>
    </w:p>
    <w:p w14:paraId="7EA6101F">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村民对垃圾分类的认知不足，缺乏相关知识和习惯养成。同时，缺乏有效的分类引导和监督机制，导致垃圾分类工作难以开展和合理有效利用。现有的处理方式多为就近随意堆放或者填入沟渠以及河道简单填埋或露天焚烧。当地政府每到汛期或者定期投入大量资金雇佣大量人员、设备对垃圾进行清理和整治工作，不仅占用大量政府资源耗费人力、物力还对土地资源、空气、土壤和水源造成严重污染。</w:t>
      </w:r>
    </w:p>
    <w:p w14:paraId="58050308">
      <w:pPr>
        <w:spacing w:line="560" w:lineRule="exact"/>
        <w:ind w:firstLine="640" w:firstLineChars="200"/>
        <w:rPr>
          <w:rFonts w:ascii="黑体" w:hAnsi="黑体" w:eastAsia="黑体" w:cs="方正仿宋_GB2312"/>
        </w:rPr>
      </w:pPr>
      <w:r>
        <w:rPr>
          <w:rFonts w:hint="eastAsia" w:ascii="黑体" w:hAnsi="黑体" w:eastAsia="黑体"/>
          <w:sz w:val="32"/>
          <w:szCs w:val="32"/>
        </w:rPr>
        <w:t>三、建议</w:t>
      </w:r>
    </w:p>
    <w:p w14:paraId="7A6A434B">
      <w:pPr>
        <w:spacing w:line="560" w:lineRule="exact"/>
        <w:ind w:firstLine="640" w:firstLineChars="200"/>
        <w:rPr>
          <w:rFonts w:ascii="仿宋_GB2312" w:hAnsi="黑体" w:eastAsia="仿宋_GB2312" w:cs="方正仿宋_GB2312"/>
          <w:sz w:val="32"/>
          <w:szCs w:val="32"/>
        </w:rPr>
      </w:pPr>
      <w:r>
        <w:rPr>
          <w:rFonts w:hint="eastAsia" w:ascii="楷体_GB2312" w:hAnsi="方正楷体_GB2312" w:eastAsia="楷体_GB2312" w:cs="方正楷体_GB2312"/>
          <w:sz w:val="32"/>
          <w:szCs w:val="32"/>
        </w:rPr>
        <w:t>（一）</w:t>
      </w:r>
      <w:r>
        <w:rPr>
          <w:rFonts w:hint="eastAsia" w:ascii="楷体_GB2312" w:hAnsi="方正仿宋_GB2312" w:eastAsia="楷体_GB2312" w:cs="方正仿宋_GB2312"/>
          <w:sz w:val="32"/>
          <w:szCs w:val="32"/>
        </w:rPr>
        <w:t>正确引导利用多种渠道。</w:t>
      </w:r>
      <w:r>
        <w:rPr>
          <w:rFonts w:hint="eastAsia" w:ascii="仿宋_GB2312" w:hAnsi="方正仿宋_GB2312" w:eastAsia="仿宋_GB2312" w:cs="方正仿宋_GB2312"/>
          <w:sz w:val="32"/>
          <w:szCs w:val="32"/>
        </w:rPr>
        <w:t>如村广播、宣传栏、村民会议等，宣传对生活垃圾有效合理分类，合理配备分类垃圾箱，并设置明显的标识，对相对有价值的垃圾如废弃的各种水瓶、包装箱、塑料制品等投进可回收垃圾箱，避免二次分类造成的浪费让废品得到有效利用变废为宝。</w:t>
      </w:r>
    </w:p>
    <w:p w14:paraId="1A3C23E0">
      <w:pPr>
        <w:spacing w:line="560" w:lineRule="exact"/>
        <w:ind w:firstLine="640" w:firstLineChars="200"/>
        <w:rPr>
          <w:rFonts w:ascii="仿宋_GB2312" w:hAnsi="黑体" w:eastAsia="仿宋_GB2312" w:cs="方正仿宋_GB2312"/>
          <w:sz w:val="32"/>
          <w:szCs w:val="32"/>
        </w:rPr>
      </w:pPr>
      <w:r>
        <w:rPr>
          <w:rFonts w:hint="eastAsia" w:ascii="楷体_GB2312" w:hAnsi="方正楷体_GB2312" w:eastAsia="楷体_GB2312" w:cs="方正楷体_GB2312"/>
          <w:sz w:val="32"/>
          <w:szCs w:val="32"/>
        </w:rPr>
        <w:t>（二）</w:t>
      </w:r>
      <w:r>
        <w:rPr>
          <w:rFonts w:hint="eastAsia" w:ascii="楷体_GB2312" w:hAnsi="方正仿宋_GB2312" w:eastAsia="楷体_GB2312" w:cs="方正仿宋_GB2312"/>
          <w:sz w:val="32"/>
          <w:szCs w:val="32"/>
        </w:rPr>
        <w:t>引入市场机制。</w:t>
      </w:r>
      <w:r>
        <w:rPr>
          <w:rFonts w:hint="eastAsia" w:ascii="仿宋_GB2312" w:hAnsi="方正仿宋_GB2312" w:eastAsia="仿宋_GB2312" w:cs="方正仿宋_GB2312"/>
          <w:sz w:val="32"/>
          <w:szCs w:val="32"/>
        </w:rPr>
        <w:t>引导、鼓励有能力和责任的企业投身到生活垃圾处理工作中来，到南方沿海发达地区考察、学习引进先进设备把生活垃圾制成生物质颗粒，河南、山东有成熟的设备生产线和案例。制成的生物质颗粒可以用来发电、取暖等，以我旗某乡镇为例，每年可产生生活垃圾约三十万方，再适当添加秸秆、牲畜粪便约制成三十万吨生物质颗粒，一年可节约三十万吨标准煤。即产生了经济效益、减少了环境污染又节约了大量的不可再生能源。</w:t>
      </w:r>
      <w:r>
        <w:rPr>
          <w:rFonts w:hint="eastAsia" w:ascii="宋体" w:hAnsi="宋体" w:eastAsia="宋体" w:cs="宋体"/>
          <w:sz w:val="32"/>
          <w:szCs w:val="32"/>
        </w:rPr>
        <w:t> </w:t>
      </w:r>
    </w:p>
    <w:p w14:paraId="10DB8D62">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综上所述，乡村生活垃圾的综合治理和有效利用需要全社会的共同关注和努力。通过以上提案和建议的实施，相信能够有效改善城郊乡村的环境质量，实现经济发展与环境保护的良性互动，为城郊乡村居民创造更加美好的生活环境。</w:t>
      </w:r>
    </w:p>
    <w:p w14:paraId="6EA24CB3">
      <w:pPr>
        <w:spacing w:line="560" w:lineRule="exac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w:t>
      </w:r>
    </w:p>
    <w:p w14:paraId="7A39411C"/>
    <w:p w14:paraId="52885CF2">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53BD7BFD">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54038798">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2C61423A">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313DB107">
      <w:pPr>
        <w:pStyle w:val="11"/>
        <w:widowControl/>
        <w:spacing w:beforeAutospacing="0" w:afterAutospacing="0" w:line="560" w:lineRule="exact"/>
        <w:rPr>
          <w:rFonts w:ascii="楷体_GB2312" w:hAnsi="方正楷体_GBK" w:eastAsia="楷体_GB2312" w:cs="方正楷体_GBK"/>
          <w:color w:val="000000"/>
          <w:spacing w:val="5"/>
          <w:sz w:val="32"/>
          <w:szCs w:val="32"/>
        </w:rPr>
      </w:pPr>
    </w:p>
    <w:p w14:paraId="074164C2">
      <w:pPr>
        <w:pStyle w:val="11"/>
        <w:widowControl/>
        <w:spacing w:beforeAutospacing="0" w:afterAutospacing="0" w:line="560" w:lineRule="exact"/>
        <w:rPr>
          <w:rFonts w:hint="eastAsia" w:ascii="楷体_GB2312" w:hAnsi="方正楷体_GBK" w:eastAsia="楷体_GB2312" w:cs="方正楷体_GBK"/>
          <w:color w:val="000000"/>
          <w:spacing w:val="5"/>
          <w:sz w:val="32"/>
          <w:szCs w:val="32"/>
        </w:rPr>
      </w:pPr>
    </w:p>
    <w:p w14:paraId="3E87A76F">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提案编号：066</w:t>
      </w:r>
    </w:p>
    <w:p w14:paraId="23D3E1C0">
      <w:pPr>
        <w:spacing w:line="600" w:lineRule="exact"/>
        <w:ind w:left="1650" w:hanging="1650" w:hangingChars="500"/>
        <w:jc w:val="left"/>
        <w:rPr>
          <w:rFonts w:ascii="楷体_GB2312" w:hAnsi="方正小标宋简体" w:eastAsia="楷体_GB2312" w:cs="方正小标宋简体"/>
          <w:sz w:val="32"/>
          <w:szCs w:val="32"/>
        </w:rPr>
      </w:pPr>
      <w:r>
        <w:rPr>
          <w:rFonts w:hint="eastAsia" w:ascii="楷体_GB2312" w:hAnsi="方正楷体_GBK" w:eastAsia="楷体_GB2312" w:cs="方正楷体_GBK"/>
          <w:color w:val="000000"/>
          <w:spacing w:val="5"/>
          <w:sz w:val="32"/>
          <w:szCs w:val="32"/>
        </w:rPr>
        <w:t>提案名称：</w:t>
      </w:r>
      <w:r>
        <w:rPr>
          <w:rFonts w:hint="eastAsia" w:ascii="楷体_GB2312" w:hAnsi="方正小标宋简体" w:eastAsia="楷体_GB2312" w:cs="方正小标宋简体"/>
          <w:sz w:val="32"/>
          <w:szCs w:val="32"/>
        </w:rPr>
        <w:t>关于议“水事”谋新篇 开新局 构建我旗再生水资源综合利用新格局的提案</w:t>
      </w:r>
    </w:p>
    <w:p w14:paraId="6491F6C9">
      <w:pPr>
        <w:pStyle w:val="11"/>
        <w:widowControl/>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提 案 人：张涛</w:t>
      </w:r>
    </w:p>
    <w:p w14:paraId="53F60339">
      <w:pPr>
        <w:spacing w:line="560" w:lineRule="exact"/>
        <w:rPr>
          <w:rFonts w:ascii="楷体_GB2312" w:hAnsi="华文仿宋" w:eastAsia="楷体_GB2312" w:cs="华文仿宋"/>
          <w:kern w:val="0"/>
          <w:sz w:val="32"/>
          <w:szCs w:val="32"/>
        </w:rPr>
      </w:pPr>
      <w:r>
        <w:rPr>
          <w:rFonts w:hint="eastAsia" w:ascii="楷体_GB2312" w:hAnsi="方正楷体_GBK" w:eastAsia="楷体_GB2312" w:cs="方正楷体_GBK"/>
          <w:color w:val="000000"/>
          <w:spacing w:val="5"/>
          <w:sz w:val="32"/>
          <w:szCs w:val="32"/>
        </w:rPr>
        <w:t>联系方式：18047611567</w:t>
      </w:r>
    </w:p>
    <w:p w14:paraId="5F33DFC2">
      <w:pPr>
        <w:pStyle w:val="11"/>
        <w:widowControl/>
        <w:tabs>
          <w:tab w:val="center" w:pos="4153"/>
        </w:tabs>
        <w:spacing w:beforeAutospacing="0" w:afterAutospacing="0" w:line="560" w:lineRule="exact"/>
        <w:rPr>
          <w:rFonts w:ascii="楷体_GB2312" w:hAnsi="方正楷体_GBK" w:eastAsia="楷体_GB2312" w:cs="方正楷体_GBK"/>
          <w:color w:val="000000"/>
          <w:spacing w:val="5"/>
          <w:sz w:val="32"/>
          <w:szCs w:val="32"/>
        </w:rPr>
      </w:pPr>
      <w:r>
        <w:rPr>
          <w:rFonts w:hint="eastAsia" w:ascii="楷体_GB2312" w:hAnsi="方正楷体_GBK" w:eastAsia="楷体_GB2312" w:cs="方正楷体_GBK"/>
          <w:color w:val="000000"/>
          <w:spacing w:val="5"/>
          <w:sz w:val="32"/>
          <w:szCs w:val="32"/>
        </w:rPr>
        <w:t>界    别：经济企业</w:t>
      </w:r>
    </w:p>
    <w:p w14:paraId="4C3A5032">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关于议“水事”谋新篇 开新局 构建我旗再生水资源综合利用新格局的提案</w:t>
      </w:r>
    </w:p>
    <w:p w14:paraId="5EBB609F">
      <w:pPr>
        <w:pStyle w:val="11"/>
        <w:widowControl/>
        <w:spacing w:beforeAutospacing="0" w:afterAutospacing="0" w:line="600" w:lineRule="exact"/>
        <w:ind w:firstLine="640" w:firstLineChars="200"/>
        <w:jc w:val="both"/>
        <w:rPr>
          <w:rFonts w:ascii="仿宋_GB2312" w:hAnsi="仿宋_GB2312" w:eastAsia="仿宋_GB2312" w:cs="仿宋_GB2312"/>
          <w:sz w:val="32"/>
          <w:szCs w:val="32"/>
        </w:rPr>
      </w:pPr>
    </w:p>
    <w:p w14:paraId="02E9F96E">
      <w:pPr>
        <w:pStyle w:val="11"/>
        <w:widowControl/>
        <w:spacing w:beforeAutospacing="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我国水资源现面临着总量丰富但分布不均匀、利用效率偏低、水污染严重和水环境恶劣等多重考验。就赤峰地区来说，存在降水量少、蒸发量大、水资源分布不均及水资源利用率低等问题，这严重制约着城市经济建设的发展。根据国务院新修订的《节约用水条例》及内蒙古自治区第十一届委员会全体会议中强调的“六个行动”要求，加强用水管理和实施节水措施已刻不容缓。如何激励增加水源成为城市发展的一个重大课题，在可以选择的各种办法中，“大力推广使用再生水，实现水资源循环利用”是最有效的办法。</w:t>
      </w:r>
    </w:p>
    <w:p w14:paraId="30D0C7DA">
      <w:pPr>
        <w:pStyle w:val="11"/>
        <w:widowControl/>
        <w:numPr>
          <w:ilvl w:val="0"/>
          <w:numId w:val="18"/>
        </w:numPr>
        <w:spacing w:beforeAutospacing="0" w:afterAutospacing="0" w:line="60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水厂基本情况介绍</w:t>
      </w:r>
    </w:p>
    <w:p w14:paraId="41C06FE2">
      <w:pPr>
        <w:pStyle w:val="34"/>
        <w:spacing w:line="600" w:lineRule="exact"/>
        <w:ind w:firstLine="644"/>
        <w:rPr>
          <w:rFonts w:ascii="仿宋_GB2312" w:hAnsi="方正仿宋_GB2312" w:eastAsia="仿宋_GB2312" w:cs="方正仿宋_GB2312"/>
          <w:spacing w:val="1"/>
          <w:sz w:val="32"/>
          <w:szCs w:val="32"/>
          <w:lang w:val="en-US"/>
        </w:rPr>
      </w:pPr>
      <w:r>
        <w:rPr>
          <w:rFonts w:hint="eastAsia" w:ascii="仿宋_GB2312" w:hAnsi="方正仿宋_GB2312" w:eastAsia="仿宋_GB2312" w:cs="方正仿宋_GB2312"/>
          <w:spacing w:val="1"/>
          <w:sz w:val="32"/>
          <w:szCs w:val="32"/>
          <w:lang w:val="en-US"/>
        </w:rPr>
        <w:t>赤峰锦源环保科技有限公司及其全资子公司赤峰锦水源环保科技有限公司分别成立于2016年和2018年，由北京碧水源全资持股。</w:t>
      </w:r>
    </w:p>
    <w:p w14:paraId="7B7789BE">
      <w:pPr>
        <w:pStyle w:val="34"/>
        <w:spacing w:line="600" w:lineRule="exact"/>
        <w:ind w:firstLine="644"/>
        <w:rPr>
          <w:rFonts w:ascii="仿宋_GB2312" w:hAnsi="方正仿宋_GB2312" w:eastAsia="仿宋_GB2312" w:cs="方正仿宋_GB2312"/>
          <w:spacing w:val="1"/>
          <w:sz w:val="32"/>
          <w:szCs w:val="32"/>
          <w:lang w:val="en-US"/>
        </w:rPr>
      </w:pPr>
      <w:r>
        <w:rPr>
          <w:rFonts w:hint="eastAsia" w:ascii="仿宋_GB2312" w:hAnsi="方正仿宋_GB2312" w:eastAsia="仿宋_GB2312" w:cs="方正仿宋_GB2312"/>
          <w:spacing w:val="1"/>
          <w:sz w:val="32"/>
          <w:szCs w:val="32"/>
          <w:lang w:val="en-US"/>
        </w:rPr>
        <w:t>赤峰锦源</w:t>
      </w:r>
      <w:r>
        <w:rPr>
          <w:rFonts w:hint="eastAsia" w:ascii="仿宋_GB2312" w:hAnsi="方正仿宋_GB2312" w:eastAsia="仿宋_GB2312" w:cs="方正仿宋_GB2312"/>
          <w:spacing w:val="1"/>
          <w:sz w:val="32"/>
          <w:szCs w:val="32"/>
        </w:rPr>
        <w:t>坐落于喀喇沁旗锦山镇，主要接收锦山城区生活污水与小牛群农畜产品加工园废水。污水处理厂设计规模4万吨/d，污水处理工艺流程为AA/O+MBR+次氯酸钠消毒等，年产生再生水1200余万吨。</w:t>
      </w:r>
      <w:r>
        <w:rPr>
          <w:rFonts w:hint="eastAsia" w:ascii="仿宋_GB2312" w:hAnsi="方正仿宋_GB2312" w:eastAsia="仿宋_GB2312" w:cs="方正仿宋_GB2312"/>
          <w:spacing w:val="1"/>
          <w:sz w:val="32"/>
          <w:szCs w:val="32"/>
          <w:lang w:val="en-US"/>
        </w:rPr>
        <w:t>赤峰锦水源坐落于锦山镇周边，主要承接喀喇沁旗乡镇污水处理工程，建设规模0.41万吨/d，工艺采用A/O+MBR+紫外线消毒工艺。其中在建项目中龙山污水处理站设计规模800m3/d，赤峰新材料产业园污水处理站800m3/d，马鞍山污水处理站设计处理规模200m3/d。已建设运营投产的有牛营子牛大段污水处理站设计规模300m3/d，牛营子罗营子街区污水处理站设计规模800m3/d，牛营子土城子机场污水处理站200m3/d，牛营子三个污水处理站日均设计规模为1300m3/d，年均设计规模474500m3。从总体来看，污水处理厂日均处理水量为1956吨，年处理水量为714140吨。</w:t>
      </w:r>
    </w:p>
    <w:p w14:paraId="36E211B3">
      <w:pPr>
        <w:pStyle w:val="34"/>
        <w:spacing w:line="600" w:lineRule="exact"/>
        <w:ind w:firstLine="644"/>
        <w:rPr>
          <w:rFonts w:ascii="仿宋_GB2312" w:hAnsi="仿宋_GB2312" w:eastAsia="仿宋_GB2312" w:cs="仿宋_GB2312"/>
          <w:sz w:val="32"/>
          <w:szCs w:val="32"/>
          <w:lang w:val="en-US"/>
        </w:rPr>
      </w:pPr>
      <w:r>
        <w:rPr>
          <w:rFonts w:hint="eastAsia" w:ascii="仿宋_GB2312" w:hAnsi="方正仿宋_GB2312" w:eastAsia="仿宋_GB2312" w:cs="方正仿宋_GB2312"/>
          <w:spacing w:val="1"/>
          <w:sz w:val="32"/>
          <w:szCs w:val="32"/>
          <w:lang w:val="en-US"/>
        </w:rPr>
        <w:t>设计出水水质为《城镇污水处理厂污染物排放标准</w:t>
      </w:r>
      <w:r>
        <w:rPr>
          <w:rFonts w:hint="eastAsia" w:ascii="MS Gothic" w:hAnsi="MS Gothic" w:eastAsia="MS Gothic" w:cs="MS Gothic"/>
          <w:spacing w:val="1"/>
          <w:sz w:val="32"/>
          <w:szCs w:val="32"/>
          <w:lang w:val="en-US"/>
        </w:rPr>
        <w:t>‌</w:t>
      </w:r>
      <w:r>
        <w:rPr>
          <w:rFonts w:hint="eastAsia" w:ascii="仿宋_GB2312" w:hAnsi="仿宋_GB2312" w:eastAsia="仿宋_GB2312" w:cs="仿宋_GB2312"/>
          <w:spacing w:val="1"/>
          <w:sz w:val="32"/>
          <w:szCs w:val="32"/>
          <w:lang w:val="en-US"/>
        </w:rPr>
        <w:t>》</w:t>
      </w:r>
      <w:r>
        <w:rPr>
          <w:rFonts w:hint="eastAsia" w:ascii="仿宋_GB2312" w:hAnsi="方正仿宋_GB2312" w:eastAsia="仿宋_GB2312" w:cs="方正仿宋_GB2312"/>
          <w:spacing w:val="1"/>
          <w:sz w:val="32"/>
          <w:szCs w:val="32"/>
          <w:lang w:val="en-US"/>
        </w:rPr>
        <w:t>GB 18918-2002一级A标准，实际出水水质达到地表水Ⅳ类（总氮除外，</w:t>
      </w:r>
      <w:r>
        <w:rPr>
          <w:rFonts w:hint="eastAsia" w:ascii="仿宋_GB2312" w:hAnsi="方正仿宋_GB2312" w:eastAsia="仿宋_GB2312" w:cs="方正仿宋_GB2312"/>
          <w:spacing w:val="1"/>
          <w:sz w:val="32"/>
          <w:szCs w:val="32"/>
        </w:rPr>
        <w:t>其余指标满足地表四类水水质）。再生水利用主要</w:t>
      </w:r>
      <w:r>
        <w:rPr>
          <w:rFonts w:hint="eastAsia" w:ascii="仿宋_GB2312" w:hAnsi="方正仿宋_GB2312" w:eastAsia="仿宋_GB2312" w:cs="方正仿宋_GB2312"/>
          <w:spacing w:val="1"/>
          <w:sz w:val="32"/>
          <w:szCs w:val="32"/>
          <w:lang w:val="en-US"/>
        </w:rPr>
        <w:t>用于</w:t>
      </w:r>
      <w:r>
        <w:rPr>
          <w:rFonts w:hint="eastAsia" w:ascii="仿宋_GB2312" w:hAnsi="方正仿宋_GB2312" w:eastAsia="仿宋_GB2312" w:cs="方正仿宋_GB2312"/>
          <w:spacing w:val="1"/>
          <w:sz w:val="32"/>
          <w:szCs w:val="32"/>
        </w:rPr>
        <w:t>工业用水、农林灌溉、道路喷洒、园区景观绿化等。</w:t>
      </w:r>
    </w:p>
    <w:p w14:paraId="7A8B02D9">
      <w:pPr>
        <w:pStyle w:val="11"/>
        <w:widowControl/>
        <w:numPr>
          <w:ilvl w:val="0"/>
          <w:numId w:val="18"/>
        </w:numPr>
        <w:spacing w:beforeAutospacing="0" w:afterAutospacing="0" w:line="60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我旗水资源现状</w:t>
      </w:r>
    </w:p>
    <w:p w14:paraId="24DCAEFB">
      <w:pPr>
        <w:pStyle w:val="11"/>
        <w:widowControl/>
        <w:spacing w:beforeAutospacing="0" w:afterAutospacing="0" w:line="600" w:lineRule="exact"/>
        <w:ind w:firstLine="640" w:firstLineChars="200"/>
        <w:jc w:val="both"/>
        <w:rPr>
          <w:rFonts w:ascii="仿宋_GB2312" w:hAnsi="方正楷体_GB2312" w:eastAsia="仿宋_GB2312" w:cs="方正楷体_GB2312"/>
          <w:sz w:val="32"/>
          <w:szCs w:val="32"/>
        </w:rPr>
      </w:pPr>
      <w:r>
        <w:rPr>
          <w:rFonts w:hint="eastAsia" w:ascii="楷体_GB2312" w:hAnsi="方正楷体_GB2312" w:eastAsia="楷体_GB2312" w:cs="方正楷体_GB2312"/>
          <w:sz w:val="32"/>
          <w:szCs w:val="32"/>
        </w:rPr>
        <w:t>（一）自然因素</w:t>
      </w:r>
      <w:r>
        <w:rPr>
          <w:rFonts w:hint="eastAsia" w:ascii="楷体_GB2312" w:hAnsi="宋体" w:eastAsia="楷体_GB2312" w:cs="宋体"/>
          <w:sz w:val="32"/>
          <w:szCs w:val="32"/>
        </w:rPr>
        <w:t>。</w:t>
      </w:r>
      <w:r>
        <w:rPr>
          <w:rFonts w:hint="eastAsia" w:ascii="仿宋_GB2312" w:hAnsi="方正仿宋_GB2312" w:eastAsia="仿宋_GB2312" w:cs="方正仿宋_GB2312"/>
          <w:sz w:val="32"/>
          <w:szCs w:val="32"/>
        </w:rPr>
        <w:t>地区气候因素，水资源时空分布不均，地区降水、地下水、湖泊水、河流水等补给方式少。</w:t>
      </w:r>
    </w:p>
    <w:p w14:paraId="40B23228">
      <w:pPr>
        <w:pStyle w:val="11"/>
        <w:widowControl/>
        <w:spacing w:beforeAutospacing="0" w:afterAutospacing="0" w:line="600" w:lineRule="exact"/>
        <w:ind w:firstLine="640" w:firstLineChars="200"/>
        <w:jc w:val="both"/>
        <w:rPr>
          <w:rFonts w:ascii="仿宋_GB2312" w:hAnsi="方正仿宋_GB2312" w:eastAsia="仿宋_GB2312" w:cs="方正仿宋_GB2312"/>
          <w:sz w:val="32"/>
          <w:szCs w:val="32"/>
        </w:rPr>
      </w:pPr>
      <w:r>
        <w:rPr>
          <w:rFonts w:hint="eastAsia" w:ascii="楷体_GB2312" w:hAnsi="方正楷体_GB2312" w:eastAsia="楷体_GB2312" w:cs="方正楷体_GB2312"/>
          <w:sz w:val="32"/>
          <w:szCs w:val="32"/>
        </w:rPr>
        <w:t>（二）供需矛盾</w:t>
      </w:r>
      <w:r>
        <w:rPr>
          <w:rFonts w:hint="eastAsia" w:ascii="楷体_GB2312" w:hAnsi="宋体" w:eastAsia="楷体_GB2312" w:cs="宋体"/>
          <w:sz w:val="32"/>
          <w:szCs w:val="32"/>
        </w:rPr>
        <w:t>。</w:t>
      </w:r>
      <w:r>
        <w:rPr>
          <w:rFonts w:hint="eastAsia" w:ascii="仿宋_GB2312" w:hAnsi="方正仿宋_GB2312" w:eastAsia="仿宋_GB2312" w:cs="方正仿宋_GB2312"/>
          <w:sz w:val="32"/>
          <w:szCs w:val="32"/>
        </w:rPr>
        <w:t>随着人口增长，在工业、农业、生活方面用水量急剧增加，园区企业用水需求急切。</w:t>
      </w:r>
    </w:p>
    <w:p w14:paraId="334F4DC4">
      <w:pPr>
        <w:pStyle w:val="11"/>
        <w:widowControl/>
        <w:spacing w:beforeAutospacing="0" w:afterAutospacing="0" w:line="600" w:lineRule="exact"/>
        <w:ind w:firstLine="640" w:firstLineChars="200"/>
        <w:jc w:val="both"/>
        <w:rPr>
          <w:rFonts w:ascii="仿宋_GB2312" w:hAnsi="方正楷体_GB2312" w:eastAsia="仿宋_GB2312" w:cs="方正楷体_GB2312"/>
          <w:sz w:val="32"/>
          <w:szCs w:val="32"/>
        </w:rPr>
      </w:pPr>
      <w:r>
        <w:rPr>
          <w:rFonts w:hint="eastAsia" w:ascii="楷体_GB2312" w:hAnsi="方正楷体_GB2312" w:eastAsia="楷体_GB2312" w:cs="方正楷体_GB2312"/>
          <w:sz w:val="32"/>
          <w:szCs w:val="32"/>
        </w:rPr>
        <w:t>（三）意识薄弱</w:t>
      </w:r>
      <w:r>
        <w:rPr>
          <w:rFonts w:hint="eastAsia" w:ascii="楷体_GB2312" w:hAnsi="方正仿宋_GB2312" w:eastAsia="楷体_GB2312" w:cs="方正仿宋_GB2312"/>
          <w:sz w:val="32"/>
          <w:szCs w:val="32"/>
        </w:rPr>
        <w:t>居民节水意识薄弱</w:t>
      </w:r>
      <w:r>
        <w:rPr>
          <w:rFonts w:hint="eastAsia" w:ascii="仿宋_GB2312" w:hAnsi="方正仿宋_GB2312" w:eastAsia="仿宋_GB2312" w:cs="方正仿宋_GB2312"/>
          <w:sz w:val="32"/>
          <w:szCs w:val="32"/>
        </w:rPr>
        <w:t>。水资源利用方式粗放，浪费现象严重。</w:t>
      </w:r>
    </w:p>
    <w:p w14:paraId="4C41A5DA">
      <w:pPr>
        <w:pStyle w:val="11"/>
        <w:widowControl/>
        <w:spacing w:beforeAutospacing="0" w:afterAutospacing="0" w:line="600" w:lineRule="exact"/>
        <w:ind w:firstLine="640" w:firstLineChars="200"/>
        <w:jc w:val="both"/>
        <w:rPr>
          <w:rFonts w:ascii="仿宋_GB2312" w:hAnsi="方正楷体_GB2312" w:eastAsia="仿宋_GB2312" w:cs="方正楷体_GB2312"/>
          <w:sz w:val="32"/>
          <w:szCs w:val="32"/>
        </w:rPr>
      </w:pPr>
      <w:r>
        <w:rPr>
          <w:rFonts w:hint="eastAsia" w:ascii="楷体_GB2312" w:hAnsi="方正楷体_GB2312" w:eastAsia="楷体_GB2312" w:cs="方正楷体_GB2312"/>
          <w:sz w:val="32"/>
          <w:szCs w:val="32"/>
        </w:rPr>
        <w:t>（四）政策支撑度不足</w:t>
      </w:r>
      <w:r>
        <w:rPr>
          <w:rFonts w:hint="eastAsia" w:ascii="楷体_GB2312" w:hAnsi="方正仿宋_GB2312" w:eastAsia="楷体_GB2312" w:cs="方正仿宋_GB2312"/>
          <w:sz w:val="32"/>
          <w:szCs w:val="32"/>
        </w:rPr>
        <w:t>水资源可持续利用的体制和机制不完善。</w:t>
      </w:r>
      <w:r>
        <w:rPr>
          <w:rFonts w:hint="eastAsia" w:ascii="仿宋_GB2312" w:hAnsi="方正仿宋_GB2312" w:eastAsia="仿宋_GB2312" w:cs="方正仿宋_GB2312"/>
          <w:sz w:val="32"/>
          <w:szCs w:val="32"/>
        </w:rPr>
        <w:t>对再生水利用缺乏总体规划，基础设施投入严重不足。</w:t>
      </w:r>
    </w:p>
    <w:p w14:paraId="1CCC34D0">
      <w:pPr>
        <w:pStyle w:val="34"/>
        <w:spacing w:line="600" w:lineRule="exact"/>
        <w:ind w:firstLine="644"/>
        <w:rPr>
          <w:rFonts w:ascii="黑体" w:hAnsi="黑体" w:eastAsia="黑体" w:cs="黑体"/>
          <w:spacing w:val="1"/>
          <w:sz w:val="32"/>
          <w:szCs w:val="32"/>
          <w:lang w:val="en-US"/>
        </w:rPr>
      </w:pPr>
      <w:r>
        <w:rPr>
          <w:rFonts w:hint="eastAsia" w:ascii="黑体" w:hAnsi="黑体" w:eastAsia="黑体" w:cs="黑体"/>
          <w:spacing w:val="1"/>
          <w:sz w:val="32"/>
          <w:szCs w:val="32"/>
          <w:lang w:val="en-US"/>
        </w:rPr>
        <w:t>三、在生水规划布局</w:t>
      </w:r>
    </w:p>
    <w:p w14:paraId="7D7136F6">
      <w:pPr>
        <w:spacing w:line="600" w:lineRule="exact"/>
        <w:ind w:firstLine="640" w:firstLineChars="200"/>
        <w:rPr>
          <w:rFonts w:ascii="仿宋_GB2312" w:hAnsi="方正楷体_GB2312" w:eastAsia="仿宋_GB2312" w:cs="方正楷体_GB2312"/>
          <w:sz w:val="32"/>
          <w:szCs w:val="32"/>
        </w:rPr>
      </w:pPr>
      <w:r>
        <w:rPr>
          <w:rFonts w:hint="eastAsia" w:ascii="楷体_GB2312" w:hAnsi="方正楷体_GB2312" w:eastAsia="楷体_GB2312" w:cs="方正楷体_GB2312"/>
          <w:sz w:val="32"/>
          <w:szCs w:val="32"/>
        </w:rPr>
        <w:t>（一）再生水回用项目实施的可行性。</w:t>
      </w:r>
      <w:r>
        <w:rPr>
          <w:rFonts w:hint="eastAsia" w:ascii="仿宋_GB2312" w:hAnsi="方正仿宋_GB2312" w:eastAsia="仿宋_GB2312" w:cs="方正仿宋_GB2312"/>
          <w:sz w:val="32"/>
          <w:szCs w:val="32"/>
        </w:rPr>
        <w:t>一方面，受地下水及地表水水质影响，园区企业用水受限，会影响企业入驻及入驻后用水紧缺。目前，元宝山露天煤矿疏干水即将停止供应；喀喇沁旗新材料产业园、新型建材产业园、和美工贸园等多家企业依托城镇自来水供应，下一步扩能已受到水源影响；赤峰经济转型开发区内的赤峰云铜、东岳等多家企业对高标准再生水意愿强烈，加快构建在生水利用新格局迫在眉睫。</w:t>
      </w:r>
    </w:p>
    <w:p w14:paraId="45414A27">
      <w:pPr>
        <w:spacing w:line="600" w:lineRule="exact"/>
        <w:ind w:firstLine="640" w:firstLineChars="200"/>
        <w:rPr>
          <w:rFonts w:ascii="仿宋_GB2312" w:eastAsia="仿宋_GB2312"/>
          <w:sz w:val="32"/>
          <w:szCs w:val="32"/>
        </w:rPr>
      </w:pPr>
      <w:r>
        <w:rPr>
          <w:rFonts w:hint="eastAsia" w:ascii="仿宋_GB2312" w:hAnsi="方正仿宋_GB2312" w:eastAsia="仿宋_GB2312" w:cs="方正仿宋_GB2312"/>
          <w:sz w:val="32"/>
          <w:szCs w:val="32"/>
        </w:rPr>
        <w:t>另一方面，喀喇沁旗锦山污水处理厂位于喀喇沁旗锦山镇，年最大产水量可达1500万吨，产能及再生水水质优势明显，运维成本较低，经济效益突出。以此为再生水发源点，回用水可辐射新材料产业园、新型建材产业园、和美工贸园区、赤峰经济转型开发区等工业用水。</w:t>
      </w:r>
    </w:p>
    <w:p w14:paraId="76AD5610">
      <w:pPr>
        <w:spacing w:line="600" w:lineRule="exact"/>
        <w:ind w:firstLine="640" w:firstLineChars="200"/>
        <w:rPr>
          <w:rFonts w:ascii="仿宋_GB2312" w:hAnsi="方正楷体_GB2312" w:eastAsia="仿宋_GB2312" w:cs="方正楷体_GB2312"/>
          <w:sz w:val="32"/>
          <w:szCs w:val="32"/>
        </w:rPr>
      </w:pPr>
      <w:r>
        <w:rPr>
          <w:rFonts w:hint="eastAsia" w:ascii="楷体_GB2312" w:hAnsi="方正仿宋_GB2312" w:eastAsia="楷体_GB2312" w:cs="方正仿宋_GB2312"/>
          <w:sz w:val="32"/>
          <w:szCs w:val="32"/>
        </w:rPr>
        <w:t>（二）再生水回用项目工程设计。</w:t>
      </w:r>
      <w:r>
        <w:rPr>
          <w:rFonts w:hint="eastAsia" w:ascii="仿宋_GB2312" w:hAnsi="方正仿宋_GB2312" w:eastAsia="仿宋_GB2312" w:cs="方正仿宋_GB2312"/>
          <w:sz w:val="32"/>
          <w:szCs w:val="32"/>
        </w:rPr>
        <w:t>再生水回用项目已锦山污水处理厂取水起点铺设DN800的输水管道，输送至新材料产业园、十家新型建材产业园、和美工贸园、赤峰经济转型开发区等几处园区补给；同时铺设一条再生水至锦山城区，用于体育公园人工湖补给等。沿途建设提升泵预计3座，各用水点建设配套支线供水设施，主要供应新材料产业园、赤峰云铜、东岳等多家企业工业用水。</w:t>
      </w:r>
    </w:p>
    <w:p w14:paraId="472021D7">
      <w:pPr>
        <w:jc w:val="left"/>
      </w:pPr>
      <w:r>
        <w:drawing>
          <wp:anchor distT="0" distB="0" distL="114300" distR="114300" simplePos="0" relativeHeight="251661312" behindDoc="0" locked="0" layoutInCell="1" allowOverlap="1">
            <wp:simplePos x="0" y="0"/>
            <wp:positionH relativeFrom="column">
              <wp:posOffset>-19685</wp:posOffset>
            </wp:positionH>
            <wp:positionV relativeFrom="paragraph">
              <wp:posOffset>2914650</wp:posOffset>
            </wp:positionV>
            <wp:extent cx="5585460" cy="2771775"/>
            <wp:effectExtent l="0" t="0" r="2540" b="9525"/>
            <wp:wrapSquare wrapText="bothSides"/>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7"/>
                    <a:stretch>
                      <a:fillRect/>
                    </a:stretch>
                  </pic:blipFill>
                  <pic:spPr>
                    <a:xfrm>
                      <a:off x="0" y="0"/>
                      <a:ext cx="5585460" cy="2771775"/>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-12700</wp:posOffset>
            </wp:positionH>
            <wp:positionV relativeFrom="paragraph">
              <wp:posOffset>88900</wp:posOffset>
            </wp:positionV>
            <wp:extent cx="5575300" cy="2794635"/>
            <wp:effectExtent l="0" t="0" r="0" b="12065"/>
            <wp:wrapSquare wrapText="bothSides"/>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8"/>
                    <a:stretch>
                      <a:fillRect/>
                    </a:stretch>
                  </pic:blipFill>
                  <pic:spPr>
                    <a:xfrm>
                      <a:off x="0" y="0"/>
                      <a:ext cx="5575300" cy="2794635"/>
                    </a:xfrm>
                    <a:prstGeom prst="rect">
                      <a:avLst/>
                    </a:prstGeom>
                    <a:noFill/>
                    <a:ln>
                      <a:noFill/>
                    </a:ln>
                  </pic:spPr>
                </pic:pic>
              </a:graphicData>
            </a:graphic>
          </wp:anchor>
        </w:drawing>
      </w:r>
      <w:r>
        <w:rPr>
          <w:rFonts w:hint="eastAsia"/>
        </w:rPr>
        <w:t xml:space="preserve">                                  </w:t>
      </w:r>
      <w:r>
        <w:rPr>
          <w:rFonts w:hint="eastAsia"/>
          <w:b/>
          <w:bCs/>
          <w:sz w:val="24"/>
        </w:rPr>
        <w:t>图4-1 供水位置图</w:t>
      </w:r>
      <w:bookmarkStart w:id="2" w:name="_Toc12679_WPSOffice_Level2"/>
    </w:p>
    <w:p w14:paraId="14C7495C">
      <w:pPr>
        <w:spacing w:line="600" w:lineRule="exact"/>
        <w:ind w:firstLine="420" w:firstLineChars="200"/>
        <w:rPr>
          <w:rFonts w:ascii="仿宋_GB2312" w:hAnsi="方正楷体_GB2312" w:eastAsia="仿宋_GB2312" w:cs="方正楷体_GB2312"/>
          <w:sz w:val="32"/>
          <w:szCs w:val="32"/>
        </w:rPr>
      </w:pPr>
      <w:r>
        <w:rPr>
          <w:rFonts w:hint="eastAsia" w:ascii="楷体_GB2312" w:eastAsia="楷体_GB2312"/>
        </w:rPr>
        <w:t xml:space="preserve">  </w:t>
      </w:r>
      <w:bookmarkEnd w:id="2"/>
      <w:r>
        <w:rPr>
          <w:rFonts w:hint="eastAsia" w:ascii="楷体_GB2312" w:eastAsia="楷体_GB2312"/>
          <w:sz w:val="32"/>
          <w:szCs w:val="32"/>
        </w:rPr>
        <w:t>（三）</w:t>
      </w:r>
      <w:r>
        <w:rPr>
          <w:rFonts w:hint="eastAsia" w:ascii="楷体_GB2312" w:hAnsi="方正楷体_GB2312" w:eastAsia="楷体_GB2312" w:cs="方正楷体_GB2312"/>
          <w:sz w:val="32"/>
          <w:szCs w:val="32"/>
        </w:rPr>
        <w:t>再生水回用项目实施的优势。</w:t>
      </w:r>
      <w:r>
        <w:rPr>
          <w:rFonts w:hint="eastAsia" w:ascii="楷体_GB2312" w:hAnsi="方正仿宋_GB2312" w:eastAsia="楷体_GB2312" w:cs="方正仿宋_GB2312"/>
          <w:sz w:val="32"/>
          <w:szCs w:val="32"/>
        </w:rPr>
        <w:t>一是</w:t>
      </w:r>
      <w:r>
        <w:rPr>
          <w:rFonts w:hint="eastAsia" w:ascii="仿宋_GB2312" w:hAnsi="方正仿宋_GB2312" w:eastAsia="仿宋_GB2312" w:cs="方正仿宋_GB2312"/>
          <w:sz w:val="32"/>
          <w:szCs w:val="32"/>
        </w:rPr>
        <w:t>缓解水资源供需矛盾再生水作为一种非常规水源，是</w:t>
      </w:r>
      <w:r>
        <w:rPr>
          <w:rFonts w:hint="eastAsia" w:ascii="仿宋_GB2312" w:hAnsi="仿宋_GB2312" w:eastAsia="仿宋_GB2312" w:cs="仿宋_GB2312"/>
          <w:sz w:val="32"/>
          <w:szCs w:val="32"/>
        </w:rPr>
        <w:t>常规水资源的重要补充，起着“第二水源”的作用。通过开发利用再生水，可以增加水源供给、减少污水排放、提高用水效率，降低用水成本，解决园区等企业缺水难题，从而有效缓解水资源供需矛盾。</w:t>
      </w:r>
    </w:p>
    <w:p w14:paraId="5DEFDFE0">
      <w:pPr>
        <w:pStyle w:val="11"/>
        <w:widowControl/>
        <w:spacing w:beforeAutospacing="0" w:afterAutospacing="0" w:line="600" w:lineRule="exact"/>
        <w:ind w:firstLine="640" w:firstLineChars="200"/>
        <w:jc w:val="both"/>
        <w:rPr>
          <w:rFonts w:ascii="仿宋_GB2312" w:hAnsi="方正仿宋_GB2312" w:eastAsia="仿宋_GB2312" w:cs="方正仿宋_GB2312"/>
          <w:sz w:val="32"/>
          <w:szCs w:val="32"/>
        </w:rPr>
      </w:pPr>
      <w:r>
        <w:rPr>
          <w:rFonts w:hint="eastAsia" w:ascii="楷体_GB2312" w:hAnsi="宋体" w:eastAsia="楷体_GB2312" w:cs="宋体"/>
          <w:sz w:val="32"/>
          <w:szCs w:val="32"/>
        </w:rPr>
        <w:t>二是</w:t>
      </w:r>
      <w:r>
        <w:rPr>
          <w:rFonts w:hint="eastAsia" w:ascii="仿宋_GB2312" w:hAnsi="方正仿宋_GB2312" w:eastAsia="仿宋_GB2312" w:cs="方正仿宋_GB2312"/>
          <w:sz w:val="32"/>
          <w:szCs w:val="32"/>
        </w:rPr>
        <w:t>推动绿色发展和生态文明建设。再生水的利用体现了环保绿色的生活方式，是将环保理念推向更高层次的具体体现。通过再生水的生产和利用，可以有效减少对天然水资源的开采，降低水资源的消耗，促进水资源的可持续利用。这与国家推动绿色发展和生态文明建设的目标高度一致。</w:t>
      </w:r>
    </w:p>
    <w:p w14:paraId="5210440B">
      <w:pPr>
        <w:pStyle w:val="11"/>
        <w:widowControl/>
        <w:spacing w:beforeAutospacing="0" w:afterAutospacing="0" w:line="600" w:lineRule="exact"/>
        <w:ind w:firstLine="640" w:firstLineChars="200"/>
        <w:jc w:val="both"/>
        <w:rPr>
          <w:rFonts w:ascii="仿宋_GB2312" w:hAnsi="方正仿宋_GB2312" w:eastAsia="仿宋_GB2312" w:cs="方正仿宋_GB2312"/>
          <w:sz w:val="32"/>
          <w:szCs w:val="32"/>
        </w:rPr>
      </w:pPr>
      <w:r>
        <w:rPr>
          <w:rFonts w:hint="eastAsia" w:ascii="楷体_GB2312" w:hAnsi="方正仿宋_GB2312" w:eastAsia="楷体_GB2312" w:cs="方正仿宋_GB2312"/>
          <w:sz w:val="32"/>
          <w:szCs w:val="32"/>
        </w:rPr>
        <w:t>三是</w:t>
      </w:r>
      <w:r>
        <w:rPr>
          <w:rFonts w:hint="eastAsia" w:ascii="仿宋_GB2312" w:hAnsi="方正仿宋_GB2312" w:eastAsia="仿宋_GB2312" w:cs="方正仿宋_GB2312"/>
          <w:sz w:val="32"/>
          <w:szCs w:val="32"/>
        </w:rPr>
        <w:t>支持经济和社会发展</w:t>
      </w:r>
      <w:r>
        <w:rPr>
          <w:rFonts w:hint="eastAsia" w:ascii="仿宋_GB2312" w:hAnsi="仿宋_GB2312" w:eastAsia="仿宋_GB2312" w:cs="仿宋_GB2312"/>
          <w:sz w:val="32"/>
          <w:szCs w:val="32"/>
        </w:rPr>
        <w:t>再生水在工业回用、绿地景观灌溉、河流生态补给以及市政清扫等方面有着广泛的应用。目前锦山污水处理厂中水回用率为49%，中水一部分用于喀喇沁旗园林绿化、道路喷洒及厂区绿化，其余中水排进锡伯河内。</w:t>
      </w:r>
    </w:p>
    <w:p w14:paraId="100B869A">
      <w:pPr>
        <w:spacing w:line="600" w:lineRule="exact"/>
        <w:ind w:firstLine="640" w:firstLineChars="200"/>
        <w:rPr>
          <w:rFonts w:ascii="黑体" w:hAnsi="黑体" w:eastAsia="黑体" w:cs="黑体"/>
          <w:sz w:val="32"/>
          <w:szCs w:val="40"/>
        </w:rPr>
      </w:pPr>
      <w:r>
        <w:rPr>
          <w:rFonts w:hint="eastAsia" w:ascii="黑体" w:hAnsi="黑体" w:eastAsia="黑体" w:cs="黑体"/>
          <w:sz w:val="32"/>
          <w:szCs w:val="32"/>
        </w:rPr>
        <w:t>四、再生水发展建议</w:t>
      </w:r>
    </w:p>
    <w:p w14:paraId="409D0F99">
      <w:pPr>
        <w:spacing w:line="600" w:lineRule="exact"/>
        <w:ind w:firstLine="640" w:firstLineChars="200"/>
        <w:rPr>
          <w:rFonts w:ascii="仿宋_GB2312" w:hAnsi="方正仿宋_GB2312" w:eastAsia="仿宋_GB2312" w:cs="方正仿宋_GB2312"/>
          <w:sz w:val="32"/>
          <w:szCs w:val="40"/>
        </w:rPr>
      </w:pPr>
      <w:r>
        <w:rPr>
          <w:rFonts w:hint="eastAsia" w:ascii="楷体_GB2312" w:hAnsi="方正仿宋_GB2312" w:eastAsia="楷体_GB2312" w:cs="方正仿宋_GB2312"/>
          <w:sz w:val="32"/>
          <w:szCs w:val="40"/>
        </w:rPr>
        <w:t>（一）希望各级领导充分认识我旗水资源环境的严重性。</w:t>
      </w:r>
      <w:r>
        <w:rPr>
          <w:rFonts w:hint="eastAsia" w:ascii="仿宋_GB2312" w:hAnsi="方正仿宋_GB2312" w:eastAsia="仿宋_GB2312" w:cs="方正仿宋_GB2312"/>
          <w:sz w:val="32"/>
          <w:szCs w:val="40"/>
        </w:rPr>
        <w:t>借鉴先进国家的做法，完善再生水管理制度与机制，强化政策支撑。</w:t>
      </w:r>
    </w:p>
    <w:p w14:paraId="326CEE35">
      <w:pPr>
        <w:spacing w:line="600" w:lineRule="exact"/>
        <w:ind w:firstLine="640" w:firstLineChars="200"/>
        <w:rPr>
          <w:rFonts w:ascii="仿宋_GB2312" w:hAnsi="方正仿宋_GB2312" w:eastAsia="仿宋_GB2312" w:cs="方正仿宋_GB2312"/>
          <w:sz w:val="32"/>
          <w:szCs w:val="40"/>
        </w:rPr>
      </w:pPr>
      <w:r>
        <w:rPr>
          <w:rFonts w:hint="eastAsia" w:ascii="楷体_GB2312" w:hAnsi="方正仿宋_GB2312" w:eastAsia="楷体_GB2312" w:cs="方正仿宋_GB2312"/>
          <w:sz w:val="32"/>
          <w:szCs w:val="40"/>
        </w:rPr>
        <w:t>（二）科学制订企业使用自来水、再生水、河网水和地下水的价格标准。</w:t>
      </w:r>
      <w:r>
        <w:rPr>
          <w:rFonts w:hint="eastAsia" w:ascii="仿宋_GB2312" w:hAnsi="方正仿宋_GB2312" w:eastAsia="仿宋_GB2312" w:cs="方正仿宋_GB2312"/>
          <w:sz w:val="32"/>
          <w:szCs w:val="40"/>
        </w:rPr>
        <w:t>形成有利于节约用水，分类用水的价格体系。</w:t>
      </w:r>
    </w:p>
    <w:p w14:paraId="7C87DDC0">
      <w:pPr>
        <w:spacing w:line="600" w:lineRule="exact"/>
        <w:ind w:firstLine="640" w:firstLineChars="200"/>
        <w:rPr>
          <w:rFonts w:ascii="仿宋_GB2312" w:hAnsi="方正仿宋_GB2312" w:eastAsia="仿宋_GB2312" w:cs="方正仿宋_GB2312"/>
          <w:sz w:val="32"/>
          <w:szCs w:val="40"/>
        </w:rPr>
      </w:pPr>
      <w:r>
        <w:rPr>
          <w:rFonts w:hint="eastAsia" w:ascii="楷体_GB2312" w:hAnsi="方正仿宋_GB2312" w:eastAsia="楷体_GB2312" w:cs="方正仿宋_GB2312"/>
          <w:sz w:val="32"/>
          <w:szCs w:val="40"/>
        </w:rPr>
        <w:t>（三）将再生水生产企业纳入再生资源回收行业。</w:t>
      </w:r>
      <w:r>
        <w:rPr>
          <w:rFonts w:hint="eastAsia" w:ascii="仿宋_GB2312" w:hAnsi="方正仿宋_GB2312" w:eastAsia="仿宋_GB2312" w:cs="方正仿宋_GB2312"/>
          <w:sz w:val="32"/>
          <w:szCs w:val="40"/>
        </w:rPr>
        <w:t>通过设立专项资金和奖励基金，鼓励再生水技术的自主创新。</w:t>
      </w:r>
    </w:p>
    <w:p w14:paraId="50CA2F19">
      <w:pPr>
        <w:spacing w:line="600" w:lineRule="exact"/>
        <w:ind w:firstLine="640" w:firstLineChars="200"/>
        <w:rPr>
          <w:rFonts w:ascii="仿宋_GB2312" w:hAnsi="方正仿宋_GB2312" w:eastAsia="仿宋_GB2312" w:cs="方正仿宋_GB2312"/>
          <w:sz w:val="32"/>
          <w:szCs w:val="40"/>
        </w:rPr>
      </w:pPr>
      <w:r>
        <w:rPr>
          <w:rFonts w:hint="eastAsia" w:ascii="楷体_GB2312" w:hAnsi="方正仿宋_GB2312" w:eastAsia="楷体_GB2312" w:cs="方正仿宋_GB2312"/>
          <w:sz w:val="32"/>
          <w:szCs w:val="40"/>
        </w:rPr>
        <w:t>（四）加强再生水使用的基础设施建设。</w:t>
      </w:r>
      <w:r>
        <w:rPr>
          <w:rFonts w:hint="eastAsia" w:ascii="仿宋_GB2312" w:hAnsi="方正仿宋_GB2312" w:eastAsia="仿宋_GB2312" w:cs="方正仿宋_GB2312"/>
          <w:sz w:val="32"/>
          <w:szCs w:val="40"/>
        </w:rPr>
        <w:t>将建设污水再生回用设施和铺设再生水管道纳入城市建设和发展的总体规划。</w:t>
      </w:r>
    </w:p>
    <w:p w14:paraId="6AA9A42A">
      <w:pPr>
        <w:spacing w:line="600" w:lineRule="exact"/>
        <w:ind w:firstLine="640" w:firstLineChars="200"/>
        <w:rPr>
          <w:rFonts w:ascii="仿宋_GB2312" w:hAnsi="方正仿宋_GB2312" w:eastAsia="仿宋_GB2312" w:cs="方正仿宋_GB2312"/>
          <w:sz w:val="32"/>
          <w:szCs w:val="40"/>
        </w:rPr>
      </w:pPr>
      <w:r>
        <w:rPr>
          <w:rFonts w:hint="eastAsia" w:ascii="楷体_GB2312" w:hAnsi="方正仿宋_GB2312" w:eastAsia="楷体_GB2312" w:cs="方正仿宋_GB2312"/>
          <w:sz w:val="32"/>
          <w:szCs w:val="40"/>
        </w:rPr>
        <w:t>（五）加大宣传力度，多渠道、多手段引导企业、街道各用水单位使用再生水。</w:t>
      </w:r>
      <w:r>
        <w:rPr>
          <w:rFonts w:hint="eastAsia" w:ascii="仿宋_GB2312" w:hAnsi="方正仿宋_GB2312" w:eastAsia="仿宋_GB2312" w:cs="方正仿宋_GB2312"/>
          <w:sz w:val="32"/>
          <w:szCs w:val="40"/>
        </w:rPr>
        <w:t>同时，提高人们的节约意识，“变废为宝”让水资源循环利用起来。</w:t>
      </w:r>
    </w:p>
    <w:p w14:paraId="02CA91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altName w:val="Malgun Gothic Semilight"/>
    <w:panose1 w:val="00000000000000000000"/>
    <w:charset w:val="86"/>
    <w:family w:val="auto"/>
    <w:pitch w:val="default"/>
    <w:sig w:usb0="00000000" w:usb1="00000000" w:usb2="00000016" w:usb3="00000000" w:csb0="00040000" w:csb1="00000000"/>
  </w:font>
  <w:font w:name="Malgun Gothic Semilight">
    <w:panose1 w:val="020B0502040204020203"/>
    <w:charset w:val="86"/>
    <w:family w:val="swiss"/>
    <w:pitch w:val="default"/>
    <w:sig w:usb0="900002AF" w:usb1="01D77CFB" w:usb2="00000012" w:usb3="00000000" w:csb0="203E01BD" w:csb1="D7FF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inherit">
    <w:altName w:val="Cambria"/>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方正仿宋_GBK">
    <w:panose1 w:val="03000509000000000000"/>
    <w:charset w:val="86"/>
    <w:family w:val="auto"/>
    <w:pitch w:val="default"/>
    <w:sig w:usb0="00000001" w:usb1="080E0000" w:usb2="00000000" w:usb3="00000000" w:csb0="00040000" w:csb1="00000000"/>
  </w:font>
  <w:font w:name="方正公文小标宋">
    <w:altName w:val="宋体"/>
    <w:panose1 w:val="00000000000000000000"/>
    <w:charset w:val="86"/>
    <w:family w:val="auto"/>
    <w:pitch w:val="default"/>
    <w:sig w:usb0="00000000" w:usb1="00000000" w:usb2="00000016" w:usb3="00000000" w:csb0="00040001" w:csb1="00000000"/>
  </w:font>
  <w:font w:name="方正小标宋_GBK">
    <w:altName w:val="Malgun Gothic Semilight"/>
    <w:panose1 w:val="00000000000000000000"/>
    <w:charset w:val="86"/>
    <w:family w:val="auto"/>
    <w:pitch w:val="default"/>
    <w:sig w:usb0="00000000" w:usb1="00000000" w:usb2="00082016" w:usb3="00000000" w:csb0="00040001" w:csb1="00000000"/>
  </w:font>
  <w:font w:name="方正仿宋_GB2312">
    <w:altName w:val="等线"/>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方正仿宋_GB18030">
    <w:altName w:val="等线"/>
    <w:panose1 w:val="00000000000000000000"/>
    <w:charset w:val="86"/>
    <w:family w:val="auto"/>
    <w:pitch w:val="default"/>
    <w:sig w:usb0="00000000" w:usb1="00000000" w:usb2="00000000" w:usb3="00000000" w:csb0="00040000" w:csb1="00000000"/>
  </w:font>
  <w:font w:name="方正楷体_GB2312">
    <w:altName w:val="Malgun Gothic Semilight"/>
    <w:panose1 w:val="00000000000000000000"/>
    <w:charset w:val="86"/>
    <w:family w:val="auto"/>
    <w:pitch w:val="default"/>
    <w:sig w:usb0="00000000" w:usb1="00000000" w:usb2="00000012" w:usb3="00000000" w:csb0="00040001" w:csb1="00000000"/>
  </w:font>
  <w:font w:name="Segoe UI Symbol">
    <w:panose1 w:val="020B0502040204020203"/>
    <w:charset w:val="00"/>
    <w:family w:val="swiss"/>
    <w:pitch w:val="default"/>
    <w:sig w:usb0="800001E3" w:usb1="1200FFEF" w:usb2="00040000" w:usb3="04000000" w:csb0="00000001" w:csb1="4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方正小标宋">
    <w:altName w:val="宋体"/>
    <w:panose1 w:val="00000000000000000000"/>
    <w:charset w:val="00"/>
    <w:family w:val="auto"/>
    <w:pitch w:val="default"/>
    <w:sig w:usb0="00000000" w:usb1="00000000" w:usb2="00000000" w:usb3="00000000" w:csb0="00000000" w:csb1="00000000"/>
  </w:font>
  <w:font w:name="仿宋_GB">
    <w:altName w:val="仿宋"/>
    <w:panose1 w:val="00000000000000000000"/>
    <w:charset w:val="00"/>
    <w:family w:val="auto"/>
    <w:pitch w:val="default"/>
    <w:sig w:usb0="00000000" w:usb1="00000000" w:usb2="00000000" w:usb3="00000000" w:csb0="00000000" w:csb1="00000000"/>
  </w:font>
  <w:font w:name="KSOFF9CBECC6">
    <w:panose1 w:val="02010609060101010101"/>
    <w:charset w:val="86"/>
    <w:family w:val="auto"/>
    <w:pitch w:val="default"/>
    <w:sig w:usb0="00000001" w:usb1="00000000" w:usb2="00000000" w:usb3="00000000" w:csb0="00040001" w:csb1="00000000"/>
  </w:font>
  <w:font w:name="KSOFE88AA79A">
    <w:panose1 w:val="0201060003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8BC315"/>
    <w:multiLevelType w:val="singleLevel"/>
    <w:tmpl w:val="9D8BC315"/>
    <w:lvl w:ilvl="0" w:tentative="0">
      <w:start w:val="1"/>
      <w:numFmt w:val="chineseCounting"/>
      <w:suff w:val="nothing"/>
      <w:lvlText w:val="%1、"/>
      <w:lvlJc w:val="left"/>
      <w:rPr>
        <w:rFonts w:hint="eastAsia"/>
      </w:rPr>
    </w:lvl>
  </w:abstractNum>
  <w:abstractNum w:abstractNumId="1">
    <w:nsid w:val="9F9FEB8A"/>
    <w:multiLevelType w:val="singleLevel"/>
    <w:tmpl w:val="9F9FEB8A"/>
    <w:lvl w:ilvl="0" w:tentative="0">
      <w:start w:val="3"/>
      <w:numFmt w:val="chineseCounting"/>
      <w:suff w:val="nothing"/>
      <w:lvlText w:val="（%1）"/>
      <w:lvlJc w:val="left"/>
      <w:rPr>
        <w:rFonts w:hint="eastAsia"/>
      </w:rPr>
    </w:lvl>
  </w:abstractNum>
  <w:abstractNum w:abstractNumId="2">
    <w:nsid w:val="AD1468D0"/>
    <w:multiLevelType w:val="singleLevel"/>
    <w:tmpl w:val="AD1468D0"/>
    <w:lvl w:ilvl="0" w:tentative="0">
      <w:start w:val="1"/>
      <w:numFmt w:val="chineseCounting"/>
      <w:suff w:val="nothing"/>
      <w:lvlText w:val="%1、"/>
      <w:lvlJc w:val="left"/>
      <w:rPr>
        <w:rFonts w:hint="eastAsia"/>
      </w:rPr>
    </w:lvl>
  </w:abstractNum>
  <w:abstractNum w:abstractNumId="3">
    <w:nsid w:val="E46D698A"/>
    <w:multiLevelType w:val="singleLevel"/>
    <w:tmpl w:val="E46D698A"/>
    <w:lvl w:ilvl="0" w:tentative="0">
      <w:start w:val="1"/>
      <w:numFmt w:val="chineseCounting"/>
      <w:suff w:val="nothing"/>
      <w:lvlText w:val="%1、"/>
      <w:lvlJc w:val="left"/>
      <w:rPr>
        <w:rFonts w:hint="eastAsia"/>
      </w:rPr>
    </w:lvl>
  </w:abstractNum>
  <w:abstractNum w:abstractNumId="4">
    <w:nsid w:val="EFC7F4FC"/>
    <w:multiLevelType w:val="singleLevel"/>
    <w:tmpl w:val="EFC7F4FC"/>
    <w:lvl w:ilvl="0" w:tentative="0">
      <w:start w:val="2"/>
      <w:numFmt w:val="chineseCounting"/>
      <w:suff w:val="nothing"/>
      <w:lvlText w:val="（%1）"/>
      <w:lvlJc w:val="left"/>
      <w:rPr>
        <w:rFonts w:hint="eastAsia"/>
      </w:rPr>
    </w:lvl>
  </w:abstractNum>
  <w:abstractNum w:abstractNumId="5">
    <w:nsid w:val="F7FCD2BF"/>
    <w:multiLevelType w:val="singleLevel"/>
    <w:tmpl w:val="F7FCD2BF"/>
    <w:lvl w:ilvl="0" w:tentative="0">
      <w:start w:val="2"/>
      <w:numFmt w:val="chineseCounting"/>
      <w:suff w:val="nothing"/>
      <w:lvlText w:val="%1、"/>
      <w:lvlJc w:val="left"/>
      <w:rPr>
        <w:rFonts w:hint="eastAsia"/>
      </w:rPr>
    </w:lvl>
  </w:abstractNum>
  <w:abstractNum w:abstractNumId="6">
    <w:nsid w:val="09F0D3AC"/>
    <w:multiLevelType w:val="singleLevel"/>
    <w:tmpl w:val="09F0D3AC"/>
    <w:lvl w:ilvl="0" w:tentative="0">
      <w:start w:val="2"/>
      <w:numFmt w:val="chineseCounting"/>
      <w:suff w:val="nothing"/>
      <w:lvlText w:val="%1、"/>
      <w:lvlJc w:val="left"/>
      <w:pPr>
        <w:ind w:left="160" w:firstLine="0"/>
      </w:pPr>
      <w:rPr>
        <w:rFonts w:hint="eastAsia"/>
      </w:rPr>
    </w:lvl>
  </w:abstractNum>
  <w:abstractNum w:abstractNumId="7">
    <w:nsid w:val="1664214E"/>
    <w:multiLevelType w:val="multilevel"/>
    <w:tmpl w:val="1664214E"/>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9D35F76"/>
    <w:multiLevelType w:val="multilevel"/>
    <w:tmpl w:val="19D35F76"/>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A1662E7"/>
    <w:multiLevelType w:val="multilevel"/>
    <w:tmpl w:val="1A1662E7"/>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0">
    <w:nsid w:val="3E9DD353"/>
    <w:multiLevelType w:val="singleLevel"/>
    <w:tmpl w:val="3E9DD353"/>
    <w:lvl w:ilvl="0" w:tentative="0">
      <w:start w:val="2"/>
      <w:numFmt w:val="chineseCounting"/>
      <w:suff w:val="nothing"/>
      <w:lvlText w:val="（%1）"/>
      <w:lvlJc w:val="left"/>
      <w:rPr>
        <w:rFonts w:hint="eastAsia"/>
      </w:rPr>
    </w:lvl>
  </w:abstractNum>
  <w:abstractNum w:abstractNumId="11">
    <w:nsid w:val="529D1890"/>
    <w:multiLevelType w:val="multilevel"/>
    <w:tmpl w:val="529D1890"/>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2">
    <w:nsid w:val="57A5F3CF"/>
    <w:multiLevelType w:val="singleLevel"/>
    <w:tmpl w:val="57A5F3CF"/>
    <w:lvl w:ilvl="0" w:tentative="0">
      <w:start w:val="1"/>
      <w:numFmt w:val="decimal"/>
      <w:lvlText w:val="%1."/>
      <w:lvlJc w:val="left"/>
      <w:pPr>
        <w:tabs>
          <w:tab w:val="left" w:pos="312"/>
        </w:tabs>
      </w:pPr>
    </w:lvl>
  </w:abstractNum>
  <w:abstractNum w:abstractNumId="13">
    <w:nsid w:val="59FEDEFC"/>
    <w:multiLevelType w:val="singleLevel"/>
    <w:tmpl w:val="59FEDEFC"/>
    <w:lvl w:ilvl="0" w:tentative="0">
      <w:start w:val="1"/>
      <w:numFmt w:val="decimal"/>
      <w:suff w:val="nothing"/>
      <w:lvlText w:val="%1、"/>
      <w:lvlJc w:val="left"/>
    </w:lvl>
  </w:abstractNum>
  <w:abstractNum w:abstractNumId="14">
    <w:nsid w:val="5E582A7B"/>
    <w:multiLevelType w:val="multilevel"/>
    <w:tmpl w:val="5E582A7B"/>
    <w:lvl w:ilvl="0" w:tentative="0">
      <w:start w:val="2"/>
      <w:numFmt w:val="japaneseCounting"/>
      <w:lvlText w:val="%1、"/>
      <w:lvlJc w:val="left"/>
      <w:pPr>
        <w:ind w:left="660" w:hanging="660"/>
      </w:pPr>
      <w:rPr>
        <w:rFonts w:hint="default" w:ascii="黑体" w:hAnsi="黑体" w:eastAsia="黑体" w:cs="黑体"/>
        <w:sz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2D019B4"/>
    <w:multiLevelType w:val="multilevel"/>
    <w:tmpl w:val="62D019B4"/>
    <w:lvl w:ilvl="0" w:tentative="0">
      <w:start w:val="1"/>
      <w:numFmt w:val="japaneseCounting"/>
      <w:lvlText w:val="%1、"/>
      <w:lvlJc w:val="left"/>
      <w:pPr>
        <w:ind w:left="1360" w:hanging="720"/>
      </w:pPr>
      <w:rPr>
        <w:rFonts w:hint="default" w:cstheme="minorBidi"/>
        <w:sz w:val="32"/>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6">
    <w:nsid w:val="67442F8B"/>
    <w:multiLevelType w:val="singleLevel"/>
    <w:tmpl w:val="67442F8B"/>
    <w:lvl w:ilvl="0" w:tentative="0">
      <w:start w:val="1"/>
      <w:numFmt w:val="chineseCounting"/>
      <w:suff w:val="nothing"/>
      <w:lvlText w:val="%1、"/>
      <w:lvlJc w:val="left"/>
    </w:lvl>
  </w:abstractNum>
  <w:abstractNum w:abstractNumId="17">
    <w:nsid w:val="743C529E"/>
    <w:multiLevelType w:val="singleLevel"/>
    <w:tmpl w:val="743C529E"/>
    <w:lvl w:ilvl="0" w:tentative="0">
      <w:start w:val="1"/>
      <w:numFmt w:val="chineseCounting"/>
      <w:suff w:val="nothing"/>
      <w:lvlText w:val="%1、"/>
      <w:lvlJc w:val="left"/>
      <w:rPr>
        <w:rFonts w:hint="eastAsia"/>
      </w:rPr>
    </w:lvl>
  </w:abstractNum>
  <w:num w:numId="1">
    <w:abstractNumId w:val="5"/>
  </w:num>
  <w:num w:numId="2">
    <w:abstractNumId w:val="16"/>
  </w:num>
  <w:num w:numId="3">
    <w:abstractNumId w:val="10"/>
  </w:num>
  <w:num w:numId="4">
    <w:abstractNumId w:val="4"/>
  </w:num>
  <w:num w:numId="5">
    <w:abstractNumId w:val="14"/>
  </w:num>
  <w:num w:numId="6">
    <w:abstractNumId w:val="8"/>
  </w:num>
  <w:num w:numId="7">
    <w:abstractNumId w:val="6"/>
  </w:num>
  <w:num w:numId="8">
    <w:abstractNumId w:val="2"/>
  </w:num>
  <w:num w:numId="9">
    <w:abstractNumId w:val="11"/>
  </w:num>
  <w:num w:numId="10">
    <w:abstractNumId w:val="13"/>
  </w:num>
  <w:num w:numId="11">
    <w:abstractNumId w:val="9"/>
  </w:num>
  <w:num w:numId="12">
    <w:abstractNumId w:val="1"/>
  </w:num>
  <w:num w:numId="13">
    <w:abstractNumId w:val="3"/>
  </w:num>
  <w:num w:numId="14">
    <w:abstractNumId w:val="7"/>
  </w:num>
  <w:num w:numId="15">
    <w:abstractNumId w:val="12"/>
  </w:num>
  <w:num w:numId="16">
    <w:abstractNumId w:val="17"/>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3"/>
    <w:rsid w:val="00094A7F"/>
    <w:rsid w:val="000E5967"/>
    <w:rsid w:val="00115916"/>
    <w:rsid w:val="00116E36"/>
    <w:rsid w:val="00132E50"/>
    <w:rsid w:val="00196BDB"/>
    <w:rsid w:val="00201B2E"/>
    <w:rsid w:val="00212F5D"/>
    <w:rsid w:val="0032180B"/>
    <w:rsid w:val="003B7E4A"/>
    <w:rsid w:val="00471761"/>
    <w:rsid w:val="004A6D0E"/>
    <w:rsid w:val="00526153"/>
    <w:rsid w:val="00535B99"/>
    <w:rsid w:val="005E1356"/>
    <w:rsid w:val="00630F38"/>
    <w:rsid w:val="006B7E4F"/>
    <w:rsid w:val="00706A4A"/>
    <w:rsid w:val="00755774"/>
    <w:rsid w:val="0077429C"/>
    <w:rsid w:val="008114AD"/>
    <w:rsid w:val="00A80294"/>
    <w:rsid w:val="00A954F3"/>
    <w:rsid w:val="00AB2D69"/>
    <w:rsid w:val="00BD3DF6"/>
    <w:rsid w:val="00C6029B"/>
    <w:rsid w:val="00C76832"/>
    <w:rsid w:val="00CC34C2"/>
    <w:rsid w:val="00CD49F1"/>
    <w:rsid w:val="00D340C9"/>
    <w:rsid w:val="00DE77E1"/>
    <w:rsid w:val="00E624B9"/>
    <w:rsid w:val="00EB54EF"/>
    <w:rsid w:val="00F05DE2"/>
    <w:rsid w:val="00F21719"/>
    <w:rsid w:val="00F225EE"/>
    <w:rsid w:val="00F4045C"/>
    <w:rsid w:val="00FA0A3C"/>
    <w:rsid w:val="00FD1CA1"/>
    <w:rsid w:val="00FD6938"/>
    <w:rsid w:val="0EB96F74"/>
    <w:rsid w:val="7F2D6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0"/>
    <w:pPr>
      <w:keepNext/>
      <w:keepLines/>
      <w:spacing w:before="480" w:after="80" w:line="278" w:lineRule="auto"/>
      <w:jc w:val="left"/>
      <w:outlineLvl w:val="0"/>
    </w:pPr>
    <w:rPr>
      <w:rFonts w:asciiTheme="majorHAnsi" w:hAnsiTheme="majorHAnsi" w:eastAsiaTheme="majorEastAsia" w:cstheme="majorBidi"/>
      <w:color w:val="376092" w:themeColor="accent1" w:themeShade="BF"/>
      <w:sz w:val="48"/>
      <w:szCs w:val="48"/>
    </w:rPr>
  </w:style>
  <w:style w:type="paragraph" w:styleId="3">
    <w:name w:val="heading 3"/>
    <w:basedOn w:val="1"/>
    <w:next w:val="1"/>
    <w:link w:val="28"/>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link w:val="29"/>
    <w:unhideWhenUsed/>
    <w:qFormat/>
    <w:uiPriority w:val="0"/>
    <w:pPr>
      <w:spacing w:beforeAutospacing="1" w:afterAutospacing="1"/>
      <w:jc w:val="left"/>
      <w:outlineLvl w:val="3"/>
    </w:pPr>
    <w:rPr>
      <w:rFonts w:hint="eastAsia" w:ascii="宋体" w:hAnsi="宋体" w:eastAsia="宋体" w:cs="Times New Roman"/>
      <w:b/>
      <w:bCs/>
      <w:kern w:val="0"/>
      <w:sz w:val="24"/>
      <w:szCs w:val="24"/>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widowControl/>
      <w:kinsoku w:val="0"/>
      <w:autoSpaceDE w:val="0"/>
      <w:autoSpaceDN w:val="0"/>
      <w:snapToGrid w:val="0"/>
      <w:ind w:firstLine="420" w:firstLineChars="200"/>
      <w:jc w:val="left"/>
    </w:pPr>
    <w:rPr>
      <w:rFonts w:ascii="Arial" w:hAnsi="Arial" w:eastAsia="黑体" w:cs="黑体"/>
      <w:snapToGrid w:val="0"/>
      <w:kern w:val="0"/>
      <w:sz w:val="32"/>
      <w:szCs w:val="32"/>
    </w:rPr>
  </w:style>
  <w:style w:type="paragraph" w:styleId="6">
    <w:name w:val="Body Text"/>
    <w:basedOn w:val="1"/>
    <w:next w:val="1"/>
    <w:link w:val="22"/>
    <w:unhideWhenUsed/>
    <w:uiPriority w:val="99"/>
    <w:pPr>
      <w:spacing w:after="120"/>
    </w:pPr>
    <w:rPr>
      <w:rFonts w:ascii="Calibri" w:hAnsi="Calibri" w:eastAsia="宋体" w:cs="黑体"/>
      <w:kern w:val="0"/>
      <w:sz w:val="20"/>
    </w:rPr>
  </w:style>
  <w:style w:type="paragraph" w:styleId="7">
    <w:name w:val="Body Text Indent"/>
    <w:basedOn w:val="1"/>
    <w:next w:val="1"/>
    <w:link w:val="21"/>
    <w:autoRedefine/>
    <w:qFormat/>
    <w:uiPriority w:val="0"/>
    <w:pPr>
      <w:ind w:left="420" w:leftChars="200" w:firstLine="640" w:firstLineChars="200"/>
    </w:pPr>
    <w:rPr>
      <w:rFonts w:ascii="仿宋_GB2312" w:hAnsi="仿宋_GB2312" w:eastAsia="仿宋_GB2312" w:cs="仿宋_GB2312"/>
      <w:sz w:val="32"/>
      <w:szCs w:val="32"/>
    </w:rPr>
  </w:style>
  <w:style w:type="paragraph" w:styleId="8">
    <w:name w:val="toc 3"/>
    <w:basedOn w:val="1"/>
    <w:next w:val="1"/>
    <w:qFormat/>
    <w:uiPriority w:val="99"/>
    <w:pPr>
      <w:ind w:left="840" w:leftChars="400"/>
    </w:pPr>
    <w:rPr>
      <w:rFonts w:ascii="Calibri" w:hAnsi="Calibri" w:eastAsia="宋体" w:cs="Times New Roman"/>
      <w:szCs w:val="24"/>
    </w:rPr>
  </w:style>
  <w:style w:type="paragraph" w:styleId="9">
    <w:name w:val="Balloon Text"/>
    <w:basedOn w:val="1"/>
    <w:link w:val="33"/>
    <w:semiHidden/>
    <w:unhideWhenUsed/>
    <w:qFormat/>
    <w:uiPriority w:val="99"/>
    <w:rPr>
      <w:sz w:val="18"/>
      <w:szCs w:val="18"/>
    </w:rPr>
  </w:style>
  <w:style w:type="paragraph" w:styleId="10">
    <w:name w:val="Body Text 2"/>
    <w:basedOn w:val="1"/>
    <w:link w:val="26"/>
    <w:qFormat/>
    <w:uiPriority w:val="99"/>
    <w:pPr>
      <w:spacing w:after="120" w:line="480" w:lineRule="auto"/>
    </w:pPr>
    <w:rPr>
      <w:szCs w:val="24"/>
    </w:rPr>
  </w:style>
  <w:style w:type="paragraph" w:styleId="11">
    <w:name w:val="Normal (Web)"/>
    <w:basedOn w:val="1"/>
    <w:qFormat/>
    <w:uiPriority w:val="0"/>
    <w:pPr>
      <w:spacing w:beforeAutospacing="1" w:afterAutospacing="1"/>
      <w:jc w:val="left"/>
    </w:pPr>
    <w:rPr>
      <w:rFonts w:ascii="Calibri" w:hAnsi="Calibri" w:eastAsia="宋体" w:cs="Times New Roman"/>
      <w:kern w:val="0"/>
      <w:sz w:val="24"/>
      <w:szCs w:val="24"/>
    </w:rPr>
  </w:style>
  <w:style w:type="paragraph" w:styleId="12">
    <w:name w:val="Title"/>
    <w:basedOn w:val="1"/>
    <w:next w:val="1"/>
    <w:link w:val="24"/>
    <w:qFormat/>
    <w:uiPriority w:val="0"/>
    <w:pPr>
      <w:spacing w:before="240" w:after="60"/>
      <w:jc w:val="center"/>
      <w:outlineLvl w:val="0"/>
    </w:pPr>
    <w:rPr>
      <w:rFonts w:eastAsia="宋体" w:asciiTheme="majorHAnsi" w:hAnsiTheme="majorHAnsi" w:cstheme="majorBidi"/>
      <w:b/>
      <w:bCs/>
      <w:sz w:val="32"/>
      <w:szCs w:val="32"/>
    </w:rPr>
  </w:style>
  <w:style w:type="paragraph" w:styleId="13">
    <w:name w:val="Body Text First Indent"/>
    <w:basedOn w:val="6"/>
    <w:link w:val="27"/>
    <w:qFormat/>
    <w:uiPriority w:val="0"/>
    <w:pPr>
      <w:spacing w:before="100" w:beforeAutospacing="1" w:after="0" w:line="560" w:lineRule="exact"/>
      <w:ind w:firstLine="420" w:firstLineChars="100"/>
      <w:jc w:val="left"/>
    </w:pPr>
    <w:rPr>
      <w:rFonts w:ascii="宋体" w:hAnsi="宋体" w:cs="宋体"/>
      <w:kern w:val="2"/>
      <w:sz w:val="30"/>
      <w:szCs w:val="24"/>
      <w:lang w:val="zh-CN" w:bidi="zh-CN"/>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文件正文"/>
    <w:basedOn w:val="1"/>
    <w:qFormat/>
    <w:uiPriority w:val="0"/>
    <w:pPr>
      <w:spacing w:line="560" w:lineRule="exact"/>
      <w:ind w:firstLine="1040" w:firstLineChars="200"/>
    </w:pPr>
    <w:rPr>
      <w:rFonts w:ascii="宋体" w:hAnsi="宋体" w:eastAsia="仿宋_GB2312" w:cs="仿宋_GB2312"/>
      <w:sz w:val="32"/>
      <w:szCs w:val="32"/>
    </w:rPr>
  </w:style>
  <w:style w:type="character" w:customStyle="1" w:styleId="19">
    <w:name w:val="NormalCharacter"/>
    <w:semiHidden/>
    <w:qFormat/>
    <w:uiPriority w:val="0"/>
  </w:style>
  <w:style w:type="character" w:customStyle="1" w:styleId="20">
    <w:name w:val="标题 1 Char"/>
    <w:basedOn w:val="15"/>
    <w:link w:val="2"/>
    <w:qFormat/>
    <w:uiPriority w:val="9"/>
    <w:rPr>
      <w:rFonts w:asciiTheme="majorHAnsi" w:hAnsiTheme="majorHAnsi" w:eastAsiaTheme="majorEastAsia" w:cstheme="majorBidi"/>
      <w:color w:val="376092" w:themeColor="accent1" w:themeShade="BF"/>
      <w:sz w:val="48"/>
      <w:szCs w:val="48"/>
    </w:rPr>
  </w:style>
  <w:style w:type="character" w:customStyle="1" w:styleId="21">
    <w:name w:val="正文文本缩进 Char"/>
    <w:basedOn w:val="15"/>
    <w:link w:val="7"/>
    <w:uiPriority w:val="0"/>
    <w:rPr>
      <w:rFonts w:ascii="仿宋_GB2312" w:hAnsi="仿宋_GB2312" w:eastAsia="仿宋_GB2312" w:cs="仿宋_GB2312"/>
      <w:sz w:val="32"/>
      <w:szCs w:val="32"/>
    </w:rPr>
  </w:style>
  <w:style w:type="character" w:customStyle="1" w:styleId="22">
    <w:name w:val="正文文本 Char"/>
    <w:basedOn w:val="15"/>
    <w:link w:val="6"/>
    <w:uiPriority w:val="99"/>
    <w:rPr>
      <w:rFonts w:ascii="Calibri" w:hAnsi="Calibri" w:eastAsia="宋体" w:cs="黑体"/>
      <w:kern w:val="0"/>
      <w:sz w:val="20"/>
    </w:rPr>
  </w:style>
  <w:style w:type="paragraph" w:customStyle="1" w:styleId="23">
    <w:name w:val="正文首行缩进1"/>
    <w:basedOn w:val="1"/>
    <w:qFormat/>
    <w:uiPriority w:val="0"/>
    <w:pPr>
      <w:spacing w:after="120"/>
      <w:ind w:firstLine="420" w:firstLineChars="100"/>
    </w:pPr>
    <w:rPr>
      <w:rFonts w:ascii="仿宋_GB2312" w:hAnsi="Calibri" w:eastAsia="仿宋_GB2312" w:cs="黑体"/>
      <w:b/>
      <w:sz w:val="28"/>
      <w:szCs w:val="28"/>
    </w:rPr>
  </w:style>
  <w:style w:type="character" w:customStyle="1" w:styleId="24">
    <w:name w:val="标题 Char"/>
    <w:basedOn w:val="15"/>
    <w:link w:val="12"/>
    <w:qFormat/>
    <w:uiPriority w:val="0"/>
    <w:rPr>
      <w:rFonts w:eastAsia="宋体" w:asciiTheme="majorHAnsi" w:hAnsiTheme="majorHAnsi" w:cstheme="majorBidi"/>
      <w:b/>
      <w:bCs/>
      <w:sz w:val="32"/>
      <w:szCs w:val="32"/>
    </w:rPr>
  </w:style>
  <w:style w:type="paragraph" w:styleId="25">
    <w:name w:val="List Paragraph"/>
    <w:basedOn w:val="1"/>
    <w:unhideWhenUsed/>
    <w:qFormat/>
    <w:uiPriority w:val="99"/>
    <w:pPr>
      <w:ind w:firstLine="420" w:firstLineChars="200"/>
    </w:pPr>
    <w:rPr>
      <w:szCs w:val="24"/>
    </w:rPr>
  </w:style>
  <w:style w:type="character" w:customStyle="1" w:styleId="26">
    <w:name w:val="正文文本 2 Char"/>
    <w:basedOn w:val="15"/>
    <w:link w:val="10"/>
    <w:uiPriority w:val="99"/>
    <w:rPr>
      <w:szCs w:val="24"/>
    </w:rPr>
  </w:style>
  <w:style w:type="character" w:customStyle="1" w:styleId="27">
    <w:name w:val="正文首行缩进 Char"/>
    <w:basedOn w:val="22"/>
    <w:link w:val="13"/>
    <w:qFormat/>
    <w:uiPriority w:val="0"/>
    <w:rPr>
      <w:rFonts w:ascii="宋体" w:hAnsi="宋体" w:eastAsia="宋体" w:cs="宋体"/>
      <w:kern w:val="0"/>
      <w:sz w:val="30"/>
      <w:szCs w:val="24"/>
      <w:lang w:val="zh-CN" w:bidi="zh-CN"/>
    </w:rPr>
  </w:style>
  <w:style w:type="character" w:customStyle="1" w:styleId="28">
    <w:name w:val="标题 3 Char"/>
    <w:basedOn w:val="15"/>
    <w:link w:val="3"/>
    <w:semiHidden/>
    <w:qFormat/>
    <w:uiPriority w:val="0"/>
    <w:rPr>
      <w:rFonts w:ascii="宋体" w:hAnsi="宋体" w:eastAsia="宋体" w:cs="Times New Roman"/>
      <w:b/>
      <w:bCs/>
      <w:kern w:val="0"/>
      <w:sz w:val="27"/>
      <w:szCs w:val="27"/>
    </w:rPr>
  </w:style>
  <w:style w:type="character" w:customStyle="1" w:styleId="29">
    <w:name w:val="标题 4 Char"/>
    <w:basedOn w:val="15"/>
    <w:link w:val="4"/>
    <w:qFormat/>
    <w:uiPriority w:val="0"/>
    <w:rPr>
      <w:rFonts w:ascii="宋体" w:hAnsi="宋体" w:eastAsia="宋体" w:cs="Times New Roman"/>
      <w:b/>
      <w:bCs/>
      <w:kern w:val="0"/>
      <w:sz w:val="24"/>
      <w:szCs w:val="24"/>
    </w:rPr>
  </w:style>
  <w:style w:type="paragraph" w:customStyle="1" w:styleId="30">
    <w:name w:val="标题 21"/>
    <w:basedOn w:val="1"/>
    <w:qFormat/>
    <w:uiPriority w:val="0"/>
    <w:pPr>
      <w:spacing w:before="100" w:beforeAutospacing="1" w:after="100" w:afterAutospacing="1"/>
      <w:jc w:val="left"/>
      <w:outlineLvl w:val="1"/>
    </w:pPr>
    <w:rPr>
      <w:rFonts w:hint="eastAsia" w:ascii="宋体" w:hAnsi="宋体" w:eastAsia="宋体" w:cs="Times New Roman"/>
      <w:b/>
      <w:bCs/>
      <w:kern w:val="0"/>
      <w:sz w:val="36"/>
      <w:szCs w:val="36"/>
    </w:rPr>
  </w:style>
  <w:style w:type="character" w:customStyle="1" w:styleId="31">
    <w:name w:val="15"/>
    <w:basedOn w:val="15"/>
    <w:qFormat/>
    <w:uiPriority w:val="0"/>
    <w:rPr>
      <w:rFonts w:hint="default" w:ascii="Times New Roman" w:hAnsi="Times New Roman" w:cs="Times New Roman"/>
      <w:b/>
    </w:rPr>
  </w:style>
  <w:style w:type="paragraph" w:customStyle="1" w:styleId="32">
    <w:name w:val="2"/>
    <w:qFormat/>
    <w:uiPriority w:val="0"/>
    <w:pPr>
      <w:spacing w:before="120" w:after="120" w:line="288" w:lineRule="auto"/>
    </w:pPr>
    <w:rPr>
      <w:rFonts w:ascii="Arial" w:hAnsi="Arial" w:eastAsia="等线" w:cs="Arial"/>
      <w:kern w:val="0"/>
      <w:sz w:val="22"/>
      <w:szCs w:val="22"/>
      <w:lang w:val="en-US" w:eastAsia="zh-CN" w:bidi="ar-SA"/>
    </w:rPr>
  </w:style>
  <w:style w:type="character" w:customStyle="1" w:styleId="33">
    <w:name w:val="批注框文本 Char"/>
    <w:basedOn w:val="15"/>
    <w:link w:val="9"/>
    <w:semiHidden/>
    <w:qFormat/>
    <w:uiPriority w:val="99"/>
    <w:rPr>
      <w:sz w:val="18"/>
      <w:szCs w:val="18"/>
    </w:rPr>
  </w:style>
  <w:style w:type="paragraph" w:customStyle="1" w:styleId="34">
    <w:name w:val="[1]正文"/>
    <w:basedOn w:val="1"/>
    <w:qFormat/>
    <w:uiPriority w:val="0"/>
    <w:pPr>
      <w:autoSpaceDE w:val="0"/>
      <w:autoSpaceDN w:val="0"/>
      <w:ind w:firstLine="200" w:firstLineChars="200"/>
    </w:pPr>
    <w:rPr>
      <w:rFonts w:ascii="Times New Roman" w:hAnsi="Times New Roman"/>
      <w:color w:val="000000"/>
      <w:kern w:val="0"/>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84BFE0-394D-401A-A383-B86F2343C22C}">
  <ds:schemaRefs/>
</ds:datastoreItem>
</file>

<file path=docProps/app.xml><?xml version="1.0" encoding="utf-8"?>
<Properties xmlns="http://schemas.openxmlformats.org/officeDocument/2006/extended-properties" xmlns:vt="http://schemas.openxmlformats.org/officeDocument/2006/docPropsVTypes">
  <Template>Normal</Template>
  <Pages>246</Pages>
  <Words>3229</Words>
  <Characters>3288</Characters>
  <Lines>769</Lines>
  <Paragraphs>216</Paragraphs>
  <TotalTime>91</TotalTime>
  <ScaleCrop>false</ScaleCrop>
  <LinksUpToDate>false</LinksUpToDate>
  <CharactersWithSpaces>3297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2025-02-24T23:16:00Z</dcterms:created>
  <dc:creator>xb21cn</dc:creator>
  <cp:lastModifiedBy>图图妈</cp:lastModifiedBy>
  <dcterms:modified xsi:type="dcterms:W3CDTF">2026-08-10T06:56:16Z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eyJoZGlkIjoiNDMyYzU2MTYwNmM0ZmNiMjUyYWRkZWJhMGJjYzBkOGUiLCJ1c2VySWQiOiI0NDM5NTQxMzcifQ==</vt:lpwstr>
  </property>
  <property fmtid="{D5CDD505-2E9C-101B-9397-08002B2CF9AE}" pid="3" name="KSOProductBuildVer">
    <vt:lpwstr>2052-12.1.0.28043</vt:lpwstr>
  </property>
  <property fmtid="{D5CDD505-2E9C-101B-9397-08002B2CF9AE}" pid="4" name="ICV">
    <vt:lpwstr>E11944F47B4646249BE4C94BBE9D46A2_13</vt:lpwstr>
  </property>
</Properties>
</file>