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30443">
      <w:pPr>
        <w:keepNext w:val="0"/>
        <w:keepLines w:val="0"/>
        <w:pageBreakBefore w:val="0"/>
        <w:widowControl/>
        <w:kinsoku/>
        <w:wordWrap/>
        <w:overflowPunct/>
        <w:topLinePunct w:val="0"/>
        <w:autoSpaceDE w:val="0"/>
        <w:autoSpaceDN w:val="0"/>
        <w:bidi w:val="0"/>
        <w:adjustRightInd w:val="0"/>
        <w:snapToGrid w:val="0"/>
        <w:spacing w:line="640" w:lineRule="exact"/>
        <w:jc w:val="center"/>
        <w:textAlignment w:val="baseline"/>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snapToGrid w:val="0"/>
          <w:color w:val="auto"/>
          <w:kern w:val="0"/>
          <w:sz w:val="44"/>
          <w:szCs w:val="44"/>
          <w:highlight w:val="none"/>
          <w:lang w:val="en-US" w:eastAsia="zh-CN" w:bidi="ar-SA"/>
        </w:rPr>
        <w:t>喀喇沁旗河南街道马鞍山村401-03-0316号</w:t>
      </w:r>
      <w:r>
        <w:rPr>
          <w:rFonts w:hint="eastAsia" w:ascii="方正小标宋简体" w:hAnsi="方正小标宋简体" w:eastAsia="方正小标宋简体" w:cs="方正小标宋简体"/>
          <w:color w:val="auto"/>
          <w:sz w:val="44"/>
          <w:szCs w:val="44"/>
          <w:highlight w:val="none"/>
        </w:rPr>
        <w:t>集体建设</w:t>
      </w:r>
      <w:r>
        <w:rPr>
          <w:rFonts w:hint="eastAsia" w:ascii="方正小标宋简体" w:hAnsi="方正小标宋简体" w:eastAsia="方正小标宋简体" w:cs="方正小标宋简体"/>
          <w:color w:val="auto"/>
          <w:sz w:val="44"/>
          <w:szCs w:val="44"/>
          <w:highlight w:val="none"/>
          <w:lang w:eastAsia="zh-CN"/>
        </w:rPr>
        <w:t>用地</w:t>
      </w:r>
      <w:r>
        <w:rPr>
          <w:rFonts w:hint="eastAsia" w:ascii="方正小标宋简体" w:hAnsi="方正小标宋简体" w:eastAsia="方正小标宋简体" w:cs="方正小标宋简体"/>
          <w:color w:val="auto"/>
          <w:sz w:val="44"/>
          <w:szCs w:val="44"/>
          <w:highlight w:val="none"/>
        </w:rPr>
        <w:t>联营</w:t>
      </w:r>
      <w:r>
        <w:rPr>
          <w:rFonts w:hint="eastAsia" w:ascii="方正小标宋简体" w:hAnsi="方正小标宋简体" w:eastAsia="方正小标宋简体" w:cs="方正小标宋简体"/>
          <w:color w:val="auto"/>
          <w:sz w:val="44"/>
          <w:szCs w:val="44"/>
          <w:highlight w:val="none"/>
          <w:lang w:val="en-US" w:eastAsia="zh-CN"/>
        </w:rPr>
        <w:t>入股</w:t>
      </w:r>
      <w:r>
        <w:rPr>
          <w:rFonts w:hint="eastAsia" w:ascii="方正小标宋简体" w:hAnsi="方正小标宋简体" w:eastAsia="方正小标宋简体" w:cs="方正小标宋简体"/>
          <w:color w:val="auto"/>
          <w:sz w:val="44"/>
          <w:szCs w:val="44"/>
          <w:highlight w:val="none"/>
        </w:rPr>
        <w:t>方案</w:t>
      </w:r>
    </w:p>
    <w:p w14:paraId="6B6CBC98">
      <w:pPr>
        <w:keepNext w:val="0"/>
        <w:keepLines w:val="0"/>
        <w:pageBreakBefore w:val="0"/>
        <w:widowControl/>
        <w:kinsoku/>
        <w:wordWrap/>
        <w:overflowPunct/>
        <w:topLinePunct w:val="0"/>
        <w:autoSpaceDE w:val="0"/>
        <w:autoSpaceDN w:val="0"/>
        <w:bidi w:val="0"/>
        <w:adjustRightInd w:val="0"/>
        <w:snapToGrid w:val="0"/>
        <w:spacing w:line="640" w:lineRule="exact"/>
        <w:jc w:val="center"/>
        <w:textAlignment w:val="baseline"/>
        <w:rPr>
          <w:rFonts w:hint="eastAsia" w:ascii="仿宋_GB2312" w:hAnsi="仿宋_GB2312" w:eastAsia="仿宋_GB2312" w:cs="仿宋_GB2312"/>
          <w:color w:val="auto"/>
          <w:sz w:val="30"/>
          <w:szCs w:val="30"/>
          <w:highlight w:val="none"/>
        </w:rPr>
      </w:pPr>
    </w:p>
    <w:p w14:paraId="057BFD04">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为积极推动马鞍山旅游配套基础设施建设项目（一期）以联营（入股）方式办理集体用地审批，保障农村集体建设用地所有者和使用者的合法权益，结合喀喇沁旗实际，制定本方案。</w:t>
      </w:r>
    </w:p>
    <w:p w14:paraId="1E8AFB67">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一、项目概述</w:t>
      </w:r>
    </w:p>
    <w:p w14:paraId="4D2F0BB2">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为促进乡村经济发展，盘活集体资产，喀喇沁旗河南街道马鞍山村拟以集体建设用地与喀喇沁旗锦昊商贸有限公司开展联营入股合作，提升土地利用效率，实现双方互利共赢。充分发挥村集体土地资源优势和企业资金、技术、运营优势，打造</w:t>
      </w:r>
      <w:r>
        <w:rPr>
          <w:rFonts w:hint="default" w:ascii="Times New Roman" w:hAnsi="Times New Roman" w:eastAsia="仿宋_GB2312" w:cs="Times New Roman"/>
          <w:color w:val="auto"/>
          <w:kern w:val="0"/>
          <w:sz w:val="32"/>
          <w:szCs w:val="32"/>
          <w:highlight w:val="none"/>
          <w:lang w:val="en-US" w:eastAsia="zh-CN"/>
        </w:rPr>
        <w:t>马鞍山旅游配套基础设施建设项目（一期）</w:t>
      </w:r>
      <w:r>
        <w:rPr>
          <w:rFonts w:hint="eastAsia" w:ascii="Times New Roman" w:hAnsi="Times New Roman" w:eastAsia="仿宋_GB2312" w:cs="Times New Roman"/>
          <w:color w:val="auto"/>
          <w:kern w:val="0"/>
          <w:sz w:val="32"/>
          <w:szCs w:val="32"/>
          <w:highlight w:val="none"/>
          <w:lang w:val="en-US" w:eastAsia="zh-CN"/>
        </w:rPr>
        <w:t>，增加村集体与村民收入，推动区域经济发展 。</w:t>
      </w:r>
    </w:p>
    <w:p w14:paraId="01F55E23">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二、合作主体</w:t>
      </w:r>
    </w:p>
    <w:p w14:paraId="64985C7E">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1、村集体经济组织：喀喇沁旗河南街道马鞍山村民委员会负责提供集体建设用地，协调村民关系，参与项目决策监督，保障村民合法权益。</w:t>
      </w:r>
    </w:p>
    <w:p w14:paraId="0B4751ED">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2、合作企业：喀喇沁旗锦昊商贸有限公司负责项目的资金投入、规划设计、建设运营等工作，确保项目顺利实施并实现盈利。</w:t>
      </w:r>
    </w:p>
    <w:p w14:paraId="1C394EAC">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三、土地相关事宜</w:t>
      </w:r>
    </w:p>
    <w:p w14:paraId="750BB839">
      <w:pPr>
        <w:keepNext w:val="0"/>
        <w:keepLines w:val="0"/>
        <w:pageBreakBefore w:val="0"/>
        <w:widowControl/>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 土地位置及面积：</w:t>
      </w:r>
      <w:r>
        <w:rPr>
          <w:rFonts w:hint="eastAsia" w:ascii="仿宋_GB2312" w:hAnsi="仿宋_GB2312" w:eastAsia="仿宋_GB2312" w:cs="仿宋_GB2312"/>
          <w:color w:val="auto"/>
          <w:sz w:val="32"/>
          <w:szCs w:val="32"/>
          <w:highlight w:val="none"/>
        </w:rPr>
        <w:t>位于</w:t>
      </w:r>
      <w:r>
        <w:rPr>
          <w:rFonts w:hint="eastAsia" w:ascii="仿宋" w:hAnsi="仿宋" w:eastAsia="仿宋" w:cs="仿宋"/>
          <w:color w:val="auto"/>
          <w:sz w:val="32"/>
          <w:szCs w:val="32"/>
          <w:highlight w:val="none"/>
          <w:lang w:val="en-US" w:eastAsia="zh-CN"/>
        </w:rPr>
        <w:t>河南街道马鞍山村</w:t>
      </w:r>
      <w:r>
        <w:rPr>
          <w:rFonts w:hint="eastAsia" w:ascii="仿宋_GB2312" w:hAnsi="仿宋_GB2312" w:eastAsia="仿宋_GB2312" w:cs="仿宋_GB2312"/>
          <w:color w:val="auto"/>
          <w:sz w:val="32"/>
          <w:szCs w:val="32"/>
          <w:highlight w:val="none"/>
          <w:lang w:eastAsia="zh-CN"/>
        </w:rPr>
        <w:t>，地块四至：东至平锦线，南至农村道路，西至林地，北至林地</w:t>
      </w:r>
      <w:r>
        <w:rPr>
          <w:rFonts w:hint="eastAsia"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rPr>
        <w:t>面积</w:t>
      </w:r>
      <w:r>
        <w:rPr>
          <w:rFonts w:hint="eastAsia" w:ascii="仿宋" w:hAnsi="仿宋" w:eastAsia="仿宋" w:cs="仿宋"/>
          <w:color w:val="auto"/>
          <w:sz w:val="32"/>
          <w:szCs w:val="32"/>
          <w:highlight w:val="none"/>
          <w:lang w:val="en-US" w:eastAsia="zh-CN"/>
        </w:rPr>
        <w:t>6732.00</w:t>
      </w:r>
      <w:r>
        <w:rPr>
          <w:rFonts w:hint="eastAsia" w:ascii="仿宋_GB2312" w:hAnsi="仿宋_GB2312" w:eastAsia="仿宋_GB2312" w:cs="仿宋_GB2312"/>
          <w:color w:val="auto"/>
          <w:sz w:val="32"/>
          <w:szCs w:val="32"/>
          <w:highlight w:val="none"/>
        </w:rPr>
        <w:t>平方米。</w:t>
      </w:r>
    </w:p>
    <w:p w14:paraId="430F33E9">
      <w:pPr>
        <w:widowControl/>
        <w:autoSpaceDE w:val="0"/>
        <w:autoSpaceDN w:val="0"/>
        <w:spacing w:line="360" w:lineRule="auto"/>
        <w:ind w:firstLine="643" w:firstLineChars="200"/>
        <w:jc w:val="left"/>
        <w:textAlignment w:val="baseline"/>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 土地现状与规划：</w:t>
      </w:r>
      <w:r>
        <w:rPr>
          <w:rFonts w:hint="eastAsia" w:ascii="仿宋_GB2312" w:hAnsi="仿宋_GB2312" w:eastAsia="仿宋_GB2312" w:cs="仿宋_GB2312"/>
          <w:color w:val="auto"/>
          <w:sz w:val="32"/>
          <w:szCs w:val="32"/>
          <w:highlight w:val="none"/>
        </w:rPr>
        <w:t>目前</w:t>
      </w:r>
      <w:r>
        <w:rPr>
          <w:rFonts w:hint="eastAsia" w:ascii="仿宋_GB2312" w:hAnsi="仿宋_GB2312" w:eastAsia="仿宋_GB2312" w:cs="仿宋_GB2312"/>
          <w:color w:val="auto"/>
          <w:sz w:val="32"/>
          <w:szCs w:val="32"/>
          <w:highlight w:val="none"/>
          <w:lang w:val="en-US" w:eastAsia="zh-CN"/>
        </w:rPr>
        <w:t>用地范围内主要</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耕地、林地、草地等用地</w:t>
      </w:r>
      <w:r>
        <w:rPr>
          <w:rFonts w:hint="eastAsia" w:ascii="仿宋_GB2312" w:hAnsi="仿宋_GB2312" w:eastAsia="仿宋_GB2312" w:cs="仿宋_GB2312"/>
          <w:color w:val="auto"/>
          <w:sz w:val="32"/>
          <w:szCs w:val="32"/>
          <w:highlight w:val="none"/>
        </w:rPr>
        <w:t>，符合</w:t>
      </w:r>
      <w:bookmarkStart w:id="0" w:name="_Toc20379"/>
      <w:bookmarkStart w:id="1" w:name="_Toc22861"/>
      <w:bookmarkStart w:id="2" w:name="_Toc5670"/>
      <w:bookmarkStart w:id="3" w:name="_Toc13698"/>
      <w:bookmarkStart w:id="4" w:name="_Toc8263"/>
      <w:bookmarkStart w:id="5" w:name="_Toc20031"/>
      <w:bookmarkStart w:id="6" w:name="_Toc29041"/>
      <w:bookmarkStart w:id="7" w:name="_Toc30802"/>
      <w:bookmarkStart w:id="8" w:name="_Toc24233"/>
      <w:bookmarkStart w:id="9" w:name="_Toc23553"/>
      <w:bookmarkStart w:id="10" w:name="_Toc10273"/>
      <w:bookmarkStart w:id="11" w:name="_Toc11680"/>
      <w:r>
        <w:rPr>
          <w:rFonts w:hint="eastAsia" w:ascii="仿宋" w:hAnsi="仿宋" w:eastAsia="仿宋" w:cs="仿宋"/>
          <w:snapToGrid w:val="0"/>
          <w:color w:val="auto"/>
          <w:kern w:val="0"/>
          <w:sz w:val="32"/>
          <w:szCs w:val="32"/>
          <w:highlight w:val="none"/>
        </w:rPr>
        <w:t>喀喇沁旗</w:t>
      </w:r>
      <w:r>
        <w:rPr>
          <w:rFonts w:hint="eastAsia" w:ascii="仿宋" w:hAnsi="仿宋" w:eastAsia="仿宋" w:cs="仿宋"/>
          <w:snapToGrid w:val="0"/>
          <w:color w:val="auto"/>
          <w:kern w:val="0"/>
          <w:sz w:val="32"/>
          <w:szCs w:val="32"/>
          <w:highlight w:val="none"/>
          <w:lang w:val="en-US" w:eastAsia="zh-CN"/>
        </w:rPr>
        <w:t>河南街道</w:t>
      </w:r>
      <w:r>
        <w:rPr>
          <w:rFonts w:hint="eastAsia" w:ascii="仿宋" w:hAnsi="仿宋" w:eastAsia="仿宋" w:cs="仿宋"/>
          <w:snapToGrid w:val="0"/>
          <w:color w:val="auto"/>
          <w:kern w:val="0"/>
          <w:sz w:val="32"/>
          <w:szCs w:val="32"/>
          <w:highlight w:val="none"/>
        </w:rPr>
        <w:t>镇国土空间</w:t>
      </w:r>
      <w:r>
        <w:rPr>
          <w:rFonts w:hint="eastAsia" w:ascii="仿宋" w:hAnsi="仿宋" w:eastAsia="仿宋" w:cs="仿宋"/>
          <w:snapToGrid w:val="0"/>
          <w:color w:val="auto"/>
          <w:kern w:val="0"/>
          <w:sz w:val="32"/>
          <w:szCs w:val="32"/>
          <w:highlight w:val="none"/>
          <w:lang w:val="en-US" w:eastAsia="zh-CN"/>
        </w:rPr>
        <w:t>总体</w:t>
      </w:r>
      <w:r>
        <w:rPr>
          <w:rFonts w:hint="eastAsia" w:ascii="仿宋" w:hAnsi="仿宋" w:eastAsia="仿宋" w:cs="仿宋"/>
          <w:snapToGrid w:val="0"/>
          <w:color w:val="auto"/>
          <w:kern w:val="0"/>
          <w:sz w:val="32"/>
          <w:szCs w:val="32"/>
          <w:highlight w:val="none"/>
        </w:rPr>
        <w:t>规划</w:t>
      </w:r>
      <w:bookmarkEnd w:id="0"/>
      <w:bookmarkEnd w:id="1"/>
      <w:bookmarkEnd w:id="2"/>
      <w:bookmarkEnd w:id="3"/>
      <w:bookmarkEnd w:id="4"/>
      <w:bookmarkEnd w:id="5"/>
      <w:bookmarkEnd w:id="6"/>
      <w:bookmarkEnd w:id="7"/>
      <w:bookmarkEnd w:id="8"/>
      <w:bookmarkEnd w:id="9"/>
      <w:bookmarkEnd w:id="10"/>
      <w:bookmarkEnd w:id="11"/>
      <w:bookmarkStart w:id="12" w:name="_Toc23320"/>
      <w:bookmarkStart w:id="13" w:name="_Toc1557"/>
      <w:bookmarkStart w:id="14" w:name="_Toc12385"/>
      <w:bookmarkStart w:id="15" w:name="_Toc2181"/>
      <w:bookmarkStart w:id="16" w:name="_Toc17096"/>
      <w:bookmarkStart w:id="17" w:name="_Toc25107"/>
      <w:bookmarkStart w:id="18" w:name="_Toc15506"/>
      <w:bookmarkStart w:id="19" w:name="_Toc20400"/>
      <w:bookmarkStart w:id="20" w:name="_Toc21507"/>
      <w:bookmarkStart w:id="21" w:name="_Toc6884"/>
      <w:bookmarkStart w:id="22" w:name="_Toc16715"/>
      <w:r>
        <w:rPr>
          <w:rFonts w:hint="eastAsia" w:ascii="仿宋" w:hAnsi="仿宋" w:eastAsia="仿宋" w:cs="仿宋"/>
          <w:snapToGrid w:val="0"/>
          <w:color w:val="auto"/>
          <w:kern w:val="0"/>
          <w:sz w:val="32"/>
          <w:szCs w:val="32"/>
          <w:highlight w:val="none"/>
        </w:rPr>
        <w:t>（2021-2035年）</w:t>
      </w:r>
      <w:bookmarkEnd w:id="12"/>
      <w:bookmarkEnd w:id="13"/>
      <w:bookmarkEnd w:id="14"/>
      <w:bookmarkEnd w:id="15"/>
      <w:bookmarkEnd w:id="16"/>
      <w:bookmarkEnd w:id="17"/>
      <w:bookmarkEnd w:id="18"/>
      <w:bookmarkEnd w:id="19"/>
      <w:bookmarkEnd w:id="20"/>
      <w:bookmarkEnd w:id="21"/>
      <w:bookmarkEnd w:id="22"/>
      <w:r>
        <w:rPr>
          <w:rFonts w:hint="eastAsia" w:ascii="仿宋_GB2312" w:hAnsi="仿宋_GB2312" w:eastAsia="仿宋_GB2312" w:cs="仿宋_GB2312"/>
          <w:color w:val="auto"/>
          <w:sz w:val="32"/>
          <w:szCs w:val="32"/>
          <w:highlight w:val="none"/>
        </w:rPr>
        <w:t>，可用于</w:t>
      </w:r>
      <w:r>
        <w:rPr>
          <w:rFonts w:hint="eastAsia" w:ascii="仿宋_GB2312" w:hAnsi="仿宋_GB2312" w:eastAsia="仿宋_GB2312" w:cs="仿宋_GB2312"/>
          <w:color w:val="auto"/>
          <w:sz w:val="32"/>
          <w:szCs w:val="32"/>
          <w:highlight w:val="none"/>
          <w:lang w:val="en-US" w:eastAsia="zh-CN"/>
        </w:rPr>
        <w:t>环卫用地。</w:t>
      </w:r>
    </w:p>
    <w:p w14:paraId="07229181">
      <w:pPr>
        <w:keepNext w:val="0"/>
        <w:keepLines w:val="0"/>
        <w:pageBreakBefore w:val="0"/>
        <w:widowControl/>
        <w:kinsoku/>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联营（入股）土地规划条件：</w:t>
      </w:r>
      <w:r>
        <w:rPr>
          <w:rFonts w:hint="default" w:ascii="Times New Roman" w:hAnsi="Times New Roman" w:eastAsia="仿宋_GB2312" w:cs="Times New Roman"/>
          <w:color w:val="auto"/>
          <w:sz w:val="32"/>
          <w:szCs w:val="32"/>
          <w:highlight w:val="none"/>
          <w:u w:val="none"/>
        </w:rPr>
        <w:t>按照</w:t>
      </w:r>
      <w:r>
        <w:rPr>
          <w:rFonts w:hint="default" w:ascii="Times New Roman" w:hAnsi="Times New Roman" w:eastAsia="仿宋_GB2312" w:cs="Times New Roman"/>
          <w:color w:val="auto"/>
          <w:sz w:val="32"/>
          <w:szCs w:val="32"/>
          <w:highlight w:val="none"/>
          <w:u w:val="none"/>
          <w:lang w:val="en-US" w:eastAsia="zh-CN"/>
        </w:rPr>
        <w:t>喀喇沁旗</w:t>
      </w:r>
      <w:r>
        <w:rPr>
          <w:rFonts w:hint="default" w:ascii="Times New Roman" w:hAnsi="Times New Roman" w:eastAsia="仿宋_GB2312" w:cs="Times New Roman"/>
          <w:color w:val="auto"/>
          <w:sz w:val="32"/>
          <w:szCs w:val="32"/>
          <w:highlight w:val="none"/>
          <w:u w:val="none"/>
        </w:rPr>
        <w:t>自然资源局出具的《</w:t>
      </w:r>
      <w:r>
        <w:rPr>
          <w:rFonts w:hint="default" w:ascii="Times New Roman" w:hAnsi="Times New Roman" w:eastAsia="仿宋_GB2312" w:cs="Times New Roman"/>
          <w:color w:val="auto"/>
          <w:sz w:val="32"/>
          <w:szCs w:val="32"/>
          <w:highlight w:val="none"/>
          <w:u w:val="none"/>
          <w:lang w:val="en-US" w:eastAsia="zh-CN"/>
        </w:rPr>
        <w:t>建设用地</w:t>
      </w:r>
      <w:r>
        <w:rPr>
          <w:rFonts w:hint="default" w:ascii="Times New Roman" w:hAnsi="Times New Roman" w:eastAsia="仿宋_GB2312" w:cs="Times New Roman"/>
          <w:color w:val="auto"/>
          <w:sz w:val="32"/>
          <w:szCs w:val="32"/>
          <w:highlight w:val="none"/>
          <w:u w:val="none"/>
        </w:rPr>
        <w:t>规划</w:t>
      </w:r>
      <w:r>
        <w:rPr>
          <w:rFonts w:hint="default" w:ascii="Times New Roman" w:hAnsi="Times New Roman" w:eastAsia="仿宋_GB2312" w:cs="Times New Roman"/>
          <w:color w:val="auto"/>
          <w:sz w:val="32"/>
          <w:szCs w:val="32"/>
          <w:highlight w:val="none"/>
          <w:u w:val="none"/>
          <w:lang w:val="en-US" w:eastAsia="zh-CN"/>
        </w:rPr>
        <w:t>设计</w:t>
      </w:r>
      <w:r>
        <w:rPr>
          <w:rFonts w:hint="default" w:ascii="Times New Roman" w:hAnsi="Times New Roman" w:eastAsia="仿宋_GB2312" w:cs="Times New Roman"/>
          <w:color w:val="auto"/>
          <w:sz w:val="32"/>
          <w:szCs w:val="32"/>
          <w:highlight w:val="none"/>
          <w:u w:val="none"/>
        </w:rPr>
        <w:t>条件》</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字号：2025020号</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执行，</w:t>
      </w:r>
      <w:r>
        <w:rPr>
          <w:rFonts w:hint="default" w:ascii="Times New Roman" w:hAnsi="Times New Roman" w:eastAsia="仿宋_GB2312" w:cs="Times New Roman"/>
          <w:color w:val="auto"/>
          <w:sz w:val="32"/>
          <w:szCs w:val="32"/>
          <w:highlight w:val="none"/>
          <w:u w:val="none"/>
          <w:lang w:val="en-US" w:eastAsia="zh-CN"/>
        </w:rPr>
        <w:t>规划用途为</w:t>
      </w:r>
      <w:r>
        <w:rPr>
          <w:rFonts w:hint="eastAsia" w:eastAsia="仿宋_GB2312" w:cs="Times New Roman"/>
          <w:color w:val="auto"/>
          <w:sz w:val="32"/>
          <w:szCs w:val="32"/>
          <w:highlight w:val="none"/>
          <w:u w:val="single"/>
          <w:lang w:val="en-US" w:eastAsia="zh-CN"/>
        </w:rPr>
        <w:t>环卫用地</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容积率</w:t>
      </w:r>
      <w:r>
        <w:rPr>
          <w:rFonts w:hint="eastAsia" w:eastAsia="仿宋_GB2312" w:cs="Times New Roman"/>
          <w:color w:val="auto"/>
          <w:sz w:val="32"/>
          <w:szCs w:val="32"/>
          <w:highlight w:val="none"/>
          <w:u w:val="single"/>
          <w:lang w:val="en-US" w:eastAsia="zh-CN"/>
        </w:rPr>
        <w:t>1.00以下</w:t>
      </w:r>
      <w:r>
        <w:rPr>
          <w:rFonts w:hint="default" w:ascii="Times New Roman" w:hAnsi="Times New Roman" w:eastAsia="仿宋_GB2312" w:cs="Times New Roman"/>
          <w:color w:val="auto"/>
          <w:sz w:val="32"/>
          <w:szCs w:val="32"/>
          <w:highlight w:val="none"/>
          <w:u w:val="none"/>
        </w:rPr>
        <w:t>，建筑密度：</w:t>
      </w:r>
      <w:r>
        <w:rPr>
          <w:rFonts w:hint="default" w:ascii="Times New Roman" w:hAnsi="Times New Roman" w:eastAsia="仿宋_GB2312" w:cs="Times New Roman"/>
          <w:color w:val="auto"/>
          <w:sz w:val="32"/>
          <w:szCs w:val="32"/>
          <w:highlight w:val="none"/>
          <w:u w:val="single"/>
          <w:lang w:val="en-US" w:eastAsia="zh-CN"/>
        </w:rPr>
        <w:t>40%</w:t>
      </w:r>
      <w:r>
        <w:rPr>
          <w:rFonts w:hint="eastAsia" w:eastAsia="仿宋_GB2312" w:cs="Times New Roman"/>
          <w:color w:val="auto"/>
          <w:sz w:val="32"/>
          <w:szCs w:val="32"/>
          <w:highlight w:val="none"/>
          <w:u w:val="single"/>
          <w:lang w:val="en-US" w:eastAsia="zh-CN"/>
        </w:rPr>
        <w:t>以下</w:t>
      </w:r>
      <w:r>
        <w:rPr>
          <w:rFonts w:hint="default" w:ascii="Times New Roman" w:hAnsi="Times New Roman" w:eastAsia="仿宋_GB2312" w:cs="Times New Roman"/>
          <w:color w:val="auto"/>
          <w:sz w:val="32"/>
          <w:szCs w:val="32"/>
          <w:highlight w:val="none"/>
          <w:u w:val="none"/>
        </w:rPr>
        <w:t>，绿地率：</w:t>
      </w:r>
      <w:r>
        <w:rPr>
          <w:rFonts w:hint="eastAsia" w:eastAsia="仿宋_GB2312" w:cs="Times New Roman"/>
          <w:color w:val="auto"/>
          <w:sz w:val="32"/>
          <w:szCs w:val="32"/>
          <w:highlight w:val="none"/>
          <w:u w:val="single"/>
          <w:lang w:val="en-US" w:eastAsia="zh-CN"/>
        </w:rPr>
        <w:t>10</w:t>
      </w:r>
      <w:r>
        <w:rPr>
          <w:rFonts w:hint="default" w:ascii="Times New Roman" w:hAnsi="Times New Roman" w:eastAsia="仿宋_GB2312" w:cs="Times New Roman"/>
          <w:color w:val="auto"/>
          <w:sz w:val="32"/>
          <w:szCs w:val="32"/>
          <w:highlight w:val="none"/>
          <w:u w:val="single"/>
          <w:lang w:val="en-US" w:eastAsia="zh-CN"/>
        </w:rPr>
        <w:t>%</w:t>
      </w:r>
      <w:r>
        <w:rPr>
          <w:rFonts w:hint="eastAsia" w:eastAsia="仿宋_GB2312" w:cs="Times New Roman"/>
          <w:color w:val="auto"/>
          <w:sz w:val="32"/>
          <w:szCs w:val="32"/>
          <w:highlight w:val="none"/>
          <w:u w:val="single"/>
          <w:lang w:val="en-US" w:eastAsia="zh-CN"/>
        </w:rPr>
        <w:t>以上</w:t>
      </w:r>
      <w:r>
        <w:rPr>
          <w:rFonts w:hint="default" w:ascii="Times New Roman" w:hAnsi="Times New Roman" w:eastAsia="仿宋_GB2312" w:cs="Times New Roman"/>
          <w:color w:val="auto"/>
          <w:sz w:val="32"/>
          <w:szCs w:val="32"/>
          <w:highlight w:val="none"/>
          <w:u w:val="none"/>
          <w:lang w:val="en-US" w:eastAsia="zh-CN"/>
        </w:rPr>
        <w:t>，其他土地利用要求：</w:t>
      </w:r>
      <w:r>
        <w:rPr>
          <w:rFonts w:hint="default" w:ascii="Times New Roman" w:hAnsi="Times New Roman" w:eastAsia="仿宋_GB2312" w:cs="Times New Roman"/>
          <w:color w:val="auto"/>
          <w:sz w:val="32"/>
          <w:szCs w:val="32"/>
          <w:highlight w:val="none"/>
          <w:u w:val="single"/>
          <w:lang w:val="en-US" w:eastAsia="zh-CN"/>
        </w:rPr>
        <w:t>建筑限高</w:t>
      </w:r>
      <w:r>
        <w:rPr>
          <w:rFonts w:hint="eastAsia" w:eastAsia="仿宋_GB2312" w:cs="Times New Roman"/>
          <w:color w:val="auto"/>
          <w:sz w:val="32"/>
          <w:szCs w:val="32"/>
          <w:highlight w:val="none"/>
          <w:u w:val="single"/>
          <w:lang w:val="en-US" w:eastAsia="zh-CN"/>
        </w:rPr>
        <w:t>28</w:t>
      </w:r>
      <w:r>
        <w:rPr>
          <w:rFonts w:hint="default" w:ascii="Times New Roman" w:hAnsi="Times New Roman" w:eastAsia="仿宋_GB2312" w:cs="Times New Roman"/>
          <w:color w:val="auto"/>
          <w:sz w:val="32"/>
          <w:szCs w:val="32"/>
          <w:highlight w:val="none"/>
          <w:u w:val="single"/>
          <w:lang w:val="en-US" w:eastAsia="zh-CN"/>
        </w:rPr>
        <w:t>米</w:t>
      </w:r>
      <w:r>
        <w:rPr>
          <w:rFonts w:hint="eastAsia" w:ascii="Times New Roman" w:hAnsi="Times New Roman" w:eastAsia="仿宋_GB2312" w:cs="Times New Roman"/>
          <w:color w:val="auto"/>
          <w:sz w:val="32"/>
          <w:szCs w:val="32"/>
          <w:highlight w:val="none"/>
          <w:u w:val="single"/>
          <w:lang w:val="en-US" w:eastAsia="zh-CN"/>
        </w:rPr>
        <w:t>。</w:t>
      </w:r>
    </w:p>
    <w:p w14:paraId="39FEABFA">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四、联营入股方式</w:t>
      </w:r>
    </w:p>
    <w:p w14:paraId="0CA98478">
      <w:pPr>
        <w:pStyle w:val="2"/>
        <w:keepNext w:val="0"/>
        <w:keepLines w:val="0"/>
        <w:pageBreakBefore w:val="0"/>
        <w:widowControl/>
        <w:numPr>
          <w:ilvl w:val="3"/>
          <w:numId w:val="0"/>
        </w:numPr>
        <w:tabs>
          <w:tab w:val="left" w:pos="1152"/>
        </w:tabs>
        <w:wordWrap/>
        <w:overflowPunct/>
        <w:topLinePunct w:val="0"/>
        <w:autoSpaceDE w:val="0"/>
        <w:autoSpaceDN w:val="0"/>
        <w:bidi w:val="0"/>
        <w:adjustRightInd w:val="0"/>
        <w:snapToGrid w:val="0"/>
        <w:spacing w:line="640" w:lineRule="exact"/>
        <w:ind w:leftChars="0"/>
        <w:textAlignment w:val="baseline"/>
        <w:rPr>
          <w:rFonts w:hint="default" w:eastAsia="方正仿宋_GBK"/>
          <w:color w:val="auto"/>
          <w:sz w:val="32"/>
          <w:szCs w:val="32"/>
          <w:highlight w:val="none"/>
          <w:lang w:val="en-US" w:eastAsia="zh-CN"/>
        </w:rPr>
      </w:pPr>
      <w:r>
        <w:rPr>
          <w:rFonts w:hint="eastAsia"/>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喀喇沁旗河南街道马鞍山村民委员会</w:t>
      </w:r>
      <w:r>
        <w:rPr>
          <w:rFonts w:hint="eastAsia" w:ascii="仿宋_GB2312" w:hAnsi="仿宋_GB2312" w:eastAsia="仿宋_GB2312" w:cs="仿宋_GB2312"/>
          <w:color w:val="auto"/>
          <w:sz w:val="32"/>
          <w:szCs w:val="32"/>
          <w:highlight w:val="none"/>
        </w:rPr>
        <w:t>以集体建设用地使用权</w:t>
      </w:r>
      <w:r>
        <w:rPr>
          <w:rFonts w:hint="eastAsia" w:ascii="仿宋_GB2312" w:hAnsi="仿宋_GB2312" w:eastAsia="仿宋_GB2312" w:cs="仿宋_GB2312"/>
          <w:color w:val="auto"/>
          <w:sz w:val="32"/>
          <w:szCs w:val="32"/>
          <w:highlight w:val="none"/>
          <w:u w:val="single"/>
          <w:lang w:val="en-US" w:eastAsia="zh-CN"/>
        </w:rPr>
        <w:t>联营</w:t>
      </w:r>
      <w:r>
        <w:rPr>
          <w:rFonts w:hint="eastAsia" w:ascii="仿宋_GB2312" w:hAnsi="仿宋_GB2312" w:eastAsia="仿宋_GB2312" w:cs="仿宋_GB2312"/>
          <w:color w:val="auto"/>
          <w:sz w:val="32"/>
          <w:szCs w:val="32"/>
          <w:highlight w:val="none"/>
          <w:lang w:val="en-US" w:eastAsia="zh-CN"/>
        </w:rPr>
        <w:t>方式用地。</w:t>
      </w:r>
    </w:p>
    <w:p w14:paraId="101B9B8C">
      <w:pPr>
        <w:keepNext w:val="0"/>
        <w:keepLines w:val="0"/>
        <w:pageBreakBefore w:val="0"/>
        <w:widowControl/>
        <w:kinsoku/>
        <w:wordWrap/>
        <w:overflowPunct/>
        <w:topLinePunct w:val="0"/>
        <w:autoSpaceDE/>
        <w:autoSpaceDN/>
        <w:bidi w:val="0"/>
        <w:adjustRightInd/>
        <w:snapToGrid/>
        <w:spacing w:line="640" w:lineRule="exact"/>
        <w:ind w:firstLine="643" w:firstLineChars="200"/>
        <w:jc w:val="left"/>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eastAsia="zh-CN"/>
        </w:rPr>
        <w:t>（</w:t>
      </w:r>
      <w:r>
        <w:rPr>
          <w:rFonts w:hint="eastAsia" w:ascii="Times New Roman" w:hAnsi="Times New Roman" w:eastAsia="仿宋_GB2312" w:cs="Times New Roman"/>
          <w:b/>
          <w:bCs/>
          <w:color w:val="auto"/>
          <w:kern w:val="0"/>
          <w:sz w:val="32"/>
          <w:szCs w:val="32"/>
          <w:highlight w:val="none"/>
          <w:lang w:val="en-US" w:eastAsia="zh-CN"/>
        </w:rPr>
        <w:t>一</w:t>
      </w:r>
      <w:r>
        <w:rPr>
          <w:rFonts w:hint="default" w:ascii="Times New Roman" w:hAnsi="Times New Roman" w:eastAsia="仿宋_GB2312" w:cs="Times New Roman"/>
          <w:b/>
          <w:bCs/>
          <w:color w:val="auto"/>
          <w:kern w:val="0"/>
          <w:sz w:val="32"/>
          <w:szCs w:val="32"/>
          <w:highlight w:val="none"/>
          <w:lang w:eastAsia="zh-CN"/>
        </w:rPr>
        <w:t>）采用联营方式：</w:t>
      </w:r>
    </w:p>
    <w:p w14:paraId="3988A2AB">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本</w:t>
      </w:r>
      <w:r>
        <w:rPr>
          <w:rFonts w:hint="eastAsia" w:ascii="Times New Roman" w:hAnsi="Times New Roman" w:eastAsia="仿宋_GB2312" w:cs="Times New Roman"/>
          <w:color w:val="auto"/>
          <w:kern w:val="0"/>
          <w:sz w:val="32"/>
          <w:szCs w:val="32"/>
          <w:highlight w:val="none"/>
          <w:lang w:val="en-US" w:eastAsia="zh-CN"/>
        </w:rPr>
        <w:t>宗</w:t>
      </w:r>
      <w:r>
        <w:rPr>
          <w:rFonts w:hint="default" w:ascii="Times New Roman" w:hAnsi="Times New Roman" w:eastAsia="仿宋_GB2312" w:cs="Times New Roman"/>
          <w:color w:val="auto"/>
          <w:kern w:val="0"/>
          <w:sz w:val="32"/>
          <w:szCs w:val="32"/>
          <w:highlight w:val="none"/>
        </w:rPr>
        <w:t>集体建设用地</w:t>
      </w:r>
      <w:r>
        <w:rPr>
          <w:rFonts w:hint="eastAsia" w:ascii="Times New Roman" w:hAnsi="Times New Roman" w:eastAsia="仿宋_GB2312" w:cs="Times New Roman"/>
          <w:color w:val="auto"/>
          <w:kern w:val="0"/>
          <w:sz w:val="32"/>
          <w:szCs w:val="32"/>
          <w:highlight w:val="none"/>
          <w:lang w:val="en-US" w:eastAsia="zh-CN"/>
        </w:rPr>
        <w:t>通过第三方评估确定</w:t>
      </w:r>
      <w:r>
        <w:rPr>
          <w:rFonts w:hint="default" w:ascii="Times New Roman" w:hAnsi="Times New Roman" w:eastAsia="仿宋_GB2312" w:cs="Times New Roman"/>
          <w:color w:val="auto"/>
          <w:kern w:val="0"/>
          <w:sz w:val="32"/>
          <w:szCs w:val="32"/>
          <w:highlight w:val="none"/>
        </w:rPr>
        <w:t>使用权作价</w:t>
      </w:r>
      <w:r>
        <w:rPr>
          <w:rFonts w:hint="default" w:ascii="Times New Roman" w:hAnsi="Times New Roman" w:eastAsia="仿宋_GB2312" w:cs="Times New Roman"/>
          <w:color w:val="auto"/>
          <w:kern w:val="0"/>
          <w:sz w:val="32"/>
          <w:szCs w:val="32"/>
          <w:highlight w:val="none"/>
          <w:lang w:eastAsia="zh-CN"/>
        </w:rPr>
        <w:t>（大写）</w:t>
      </w:r>
      <w:r>
        <w:rPr>
          <w:rFonts w:hint="eastAsia" w:ascii="Times New Roman" w:hAnsi="Times New Roman" w:eastAsia="仿宋_GB2312" w:cs="Times New Roman"/>
          <w:color w:val="auto"/>
          <w:kern w:val="0"/>
          <w:sz w:val="32"/>
          <w:szCs w:val="32"/>
          <w:highlight w:val="none"/>
          <w:lang w:val="en-US" w:eastAsia="zh-CN"/>
        </w:rPr>
        <w:t>壹佰陆拾万捌仟玖佰肆拾捌</w:t>
      </w:r>
      <w:r>
        <w:rPr>
          <w:rFonts w:hint="eastAsia" w:ascii="Times New Roman" w:hAnsi="Times New Roman" w:eastAsia="仿宋_GB2312" w:cs="Times New Roman"/>
          <w:color w:val="auto"/>
          <w:kern w:val="0"/>
          <w:sz w:val="32"/>
          <w:szCs w:val="32"/>
          <w:highlight w:val="none"/>
          <w:lang w:eastAsia="zh-CN"/>
        </w:rPr>
        <w:t>元整</w:t>
      </w:r>
      <w:r>
        <w:rPr>
          <w:rFonts w:hint="default" w:ascii="Times New Roman" w:hAnsi="Times New Roman" w:eastAsia="仿宋_GB2312" w:cs="Times New Roman"/>
          <w:color w:val="auto"/>
          <w:kern w:val="0"/>
          <w:sz w:val="32"/>
          <w:szCs w:val="32"/>
          <w:highlight w:val="none"/>
          <w:shd w:val="clear" w:color="auto" w:fill="FFFFFF"/>
          <w:lang w:eastAsia="zh-CN"/>
        </w:rPr>
        <w:t>（小写：</w:t>
      </w:r>
      <w:r>
        <w:rPr>
          <w:rFonts w:hint="eastAsia" w:ascii="Times New Roman" w:hAnsi="Times New Roman" w:eastAsia="仿宋_GB2312" w:cs="Times New Roman"/>
          <w:color w:val="auto"/>
          <w:kern w:val="0"/>
          <w:sz w:val="32"/>
          <w:szCs w:val="32"/>
          <w:highlight w:val="none"/>
          <w:shd w:val="clear" w:color="auto" w:fill="FFFFFF"/>
          <w:lang w:val="en-US" w:eastAsia="zh-CN"/>
        </w:rPr>
        <w:t>160.8948</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元</w:t>
      </w:r>
      <w:r>
        <w:rPr>
          <w:rFonts w:hint="default" w:ascii="Times New Roman" w:hAnsi="Times New Roman" w:eastAsia="仿宋_GB2312" w:cs="Times New Roman"/>
          <w:color w:val="auto"/>
          <w:kern w:val="0"/>
          <w:sz w:val="32"/>
          <w:szCs w:val="32"/>
          <w:highlight w:val="none"/>
          <w:shd w:val="clear" w:color="auto" w:fill="FFFFFF"/>
          <w:lang w:eastAsia="zh-CN"/>
        </w:rPr>
        <w:t>）（其中包括土地增值收益</w:t>
      </w:r>
      <w:r>
        <w:rPr>
          <w:rFonts w:hint="eastAsia" w:ascii="Times New Roman" w:hAnsi="Times New Roman" w:eastAsia="仿宋_GB2312" w:cs="Times New Roman"/>
          <w:color w:val="auto"/>
          <w:kern w:val="0"/>
          <w:sz w:val="32"/>
          <w:szCs w:val="32"/>
          <w:highlight w:val="none"/>
          <w:shd w:val="clear" w:color="auto" w:fill="FFFFFF"/>
          <w:lang w:val="en-US" w:eastAsia="zh-CN"/>
        </w:rPr>
        <w:t>91.8046</w:t>
      </w:r>
      <w:r>
        <w:rPr>
          <w:rFonts w:hint="default" w:ascii="Times New Roman" w:hAnsi="Times New Roman" w:eastAsia="仿宋_GB2312" w:cs="Times New Roman"/>
          <w:color w:val="auto"/>
          <w:kern w:val="0"/>
          <w:sz w:val="32"/>
          <w:szCs w:val="32"/>
          <w:highlight w:val="none"/>
          <w:shd w:val="clear" w:color="auto" w:fill="FFFFFF"/>
          <w:lang w:eastAsia="zh-CN"/>
        </w:rPr>
        <w:t>元）</w:t>
      </w:r>
      <w:r>
        <w:rPr>
          <w:rFonts w:hint="eastAsia" w:ascii="Times New Roman" w:hAnsi="Times New Roman" w:eastAsia="仿宋_GB2312" w:cs="Times New Roman"/>
          <w:color w:val="auto"/>
          <w:kern w:val="0"/>
          <w:sz w:val="32"/>
          <w:szCs w:val="32"/>
          <w:highlight w:val="none"/>
          <w:shd w:val="clear" w:color="auto" w:fill="FFFFFF"/>
          <w:lang w:val="en-US" w:eastAsia="zh-CN"/>
        </w:rPr>
        <w:t>河南街道马鞍山村</w:t>
      </w:r>
      <w:r>
        <w:rPr>
          <w:rFonts w:hint="default" w:ascii="Times New Roman" w:hAnsi="Times New Roman" w:eastAsia="仿宋_GB2312" w:cs="Times New Roman"/>
          <w:color w:val="auto"/>
          <w:kern w:val="0"/>
          <w:sz w:val="32"/>
          <w:szCs w:val="32"/>
          <w:highlight w:val="none"/>
          <w:u w:val="single"/>
          <w:shd w:val="clear" w:color="auto" w:fill="FFFFFF"/>
        </w:rPr>
        <w:t>集体经济组织与</w:t>
      </w:r>
      <w:r>
        <w:rPr>
          <w:rFonts w:hint="eastAsia" w:ascii="仿宋" w:hAnsi="仿宋" w:eastAsia="仿宋" w:cs="仿宋"/>
          <w:b w:val="0"/>
          <w:bCs w:val="0"/>
          <w:color w:val="auto"/>
          <w:sz w:val="32"/>
          <w:szCs w:val="32"/>
          <w:highlight w:val="none"/>
          <w:lang w:eastAsia="zh-CN"/>
        </w:rPr>
        <w:t>喀喇沁旗</w:t>
      </w:r>
      <w:r>
        <w:rPr>
          <w:rFonts w:hint="eastAsia" w:ascii="仿宋" w:hAnsi="仿宋" w:eastAsia="仿宋" w:cs="仿宋"/>
          <w:b w:val="0"/>
          <w:bCs w:val="0"/>
          <w:color w:val="auto"/>
          <w:sz w:val="32"/>
          <w:szCs w:val="32"/>
          <w:highlight w:val="none"/>
          <w:lang w:val="en-US" w:eastAsia="zh-CN"/>
        </w:rPr>
        <w:t>锦昊商贸</w:t>
      </w:r>
      <w:r>
        <w:rPr>
          <w:rFonts w:hint="eastAsia" w:ascii="仿宋" w:hAnsi="仿宋" w:eastAsia="仿宋" w:cs="仿宋"/>
          <w:b w:val="0"/>
          <w:bCs w:val="0"/>
          <w:color w:val="auto"/>
          <w:sz w:val="32"/>
          <w:szCs w:val="32"/>
          <w:highlight w:val="none"/>
          <w:lang w:eastAsia="zh-CN"/>
        </w:rPr>
        <w:t>有限公司</w:t>
      </w:r>
      <w:r>
        <w:rPr>
          <w:rFonts w:hint="default" w:ascii="Times New Roman" w:hAnsi="Times New Roman" w:eastAsia="仿宋_GB2312" w:cs="Times New Roman"/>
          <w:color w:val="auto"/>
          <w:kern w:val="0"/>
          <w:sz w:val="32"/>
          <w:szCs w:val="32"/>
          <w:highlight w:val="none"/>
          <w:shd w:val="clear" w:color="auto" w:fill="FFFFFF"/>
          <w:lang w:eastAsia="zh-CN"/>
        </w:rPr>
        <w:t>联营</w:t>
      </w:r>
      <w:r>
        <w:rPr>
          <w:rFonts w:hint="default" w:ascii="Times New Roman" w:hAnsi="Times New Roman" w:eastAsia="仿宋_GB2312" w:cs="Times New Roman"/>
          <w:color w:val="auto"/>
          <w:kern w:val="0"/>
          <w:sz w:val="32"/>
          <w:szCs w:val="32"/>
          <w:highlight w:val="none"/>
          <w:shd w:val="clear" w:color="auto" w:fill="FFFFFF"/>
        </w:rPr>
        <w:t>，不参与</w:t>
      </w:r>
      <w:r>
        <w:rPr>
          <w:rFonts w:hint="eastAsia" w:ascii="仿宋" w:hAnsi="仿宋" w:eastAsia="仿宋" w:cs="仿宋"/>
          <w:b w:val="0"/>
          <w:bCs w:val="0"/>
          <w:color w:val="auto"/>
          <w:sz w:val="32"/>
          <w:szCs w:val="32"/>
          <w:highlight w:val="none"/>
          <w:lang w:eastAsia="zh-CN"/>
        </w:rPr>
        <w:t>喀喇沁旗</w:t>
      </w:r>
      <w:r>
        <w:rPr>
          <w:rFonts w:hint="eastAsia" w:ascii="仿宋" w:hAnsi="仿宋" w:eastAsia="仿宋" w:cs="仿宋"/>
          <w:b w:val="0"/>
          <w:bCs w:val="0"/>
          <w:color w:val="auto"/>
          <w:sz w:val="32"/>
          <w:szCs w:val="32"/>
          <w:highlight w:val="none"/>
          <w:lang w:val="en-US" w:eastAsia="zh-CN"/>
        </w:rPr>
        <w:t>锦昊商贸</w:t>
      </w:r>
      <w:r>
        <w:rPr>
          <w:rFonts w:hint="eastAsia" w:ascii="仿宋" w:hAnsi="仿宋" w:eastAsia="仿宋" w:cs="仿宋"/>
          <w:b w:val="0"/>
          <w:bCs w:val="0"/>
          <w:color w:val="auto"/>
          <w:sz w:val="32"/>
          <w:szCs w:val="32"/>
          <w:highlight w:val="none"/>
          <w:lang w:eastAsia="zh-CN"/>
        </w:rPr>
        <w:t>有限公司</w:t>
      </w:r>
      <w:r>
        <w:rPr>
          <w:rFonts w:hint="default" w:ascii="Times New Roman" w:hAnsi="Times New Roman" w:eastAsia="仿宋_GB2312" w:cs="Times New Roman"/>
          <w:color w:val="auto"/>
          <w:kern w:val="0"/>
          <w:sz w:val="32"/>
          <w:szCs w:val="32"/>
          <w:highlight w:val="none"/>
          <w:shd w:val="clear" w:color="auto" w:fill="FFFFFF"/>
        </w:rPr>
        <w:t>生产经营，</w:t>
      </w:r>
      <w:r>
        <w:rPr>
          <w:rFonts w:hint="eastAsia" w:ascii="仿宋" w:hAnsi="仿宋" w:eastAsia="仿宋" w:cs="仿宋"/>
          <w:b w:val="0"/>
          <w:bCs w:val="0"/>
          <w:color w:val="auto"/>
          <w:sz w:val="32"/>
          <w:szCs w:val="32"/>
          <w:highlight w:val="none"/>
          <w:lang w:eastAsia="zh-CN"/>
        </w:rPr>
        <w:t>喀喇沁旗</w:t>
      </w:r>
      <w:r>
        <w:rPr>
          <w:rFonts w:hint="eastAsia" w:ascii="仿宋" w:hAnsi="仿宋" w:eastAsia="仿宋" w:cs="仿宋"/>
          <w:b w:val="0"/>
          <w:bCs w:val="0"/>
          <w:color w:val="auto"/>
          <w:sz w:val="32"/>
          <w:szCs w:val="32"/>
          <w:highlight w:val="none"/>
          <w:lang w:val="en-US" w:eastAsia="zh-CN"/>
        </w:rPr>
        <w:t>锦昊商贸</w:t>
      </w:r>
      <w:r>
        <w:rPr>
          <w:rFonts w:hint="eastAsia" w:ascii="仿宋" w:hAnsi="仿宋" w:eastAsia="仿宋" w:cs="仿宋"/>
          <w:b w:val="0"/>
          <w:bCs w:val="0"/>
          <w:color w:val="auto"/>
          <w:sz w:val="32"/>
          <w:szCs w:val="32"/>
          <w:highlight w:val="none"/>
          <w:lang w:eastAsia="zh-CN"/>
        </w:rPr>
        <w:t>有限公司</w:t>
      </w:r>
      <w:r>
        <w:rPr>
          <w:rFonts w:hint="default" w:ascii="Times New Roman" w:hAnsi="Times New Roman" w:eastAsia="仿宋_GB2312" w:cs="Times New Roman"/>
          <w:color w:val="auto"/>
          <w:kern w:val="0"/>
          <w:sz w:val="32"/>
          <w:szCs w:val="32"/>
          <w:highlight w:val="none"/>
          <w:shd w:val="clear" w:color="auto" w:fill="FFFFFF"/>
        </w:rPr>
        <w:t>负责生产经营，</w:t>
      </w:r>
      <w:r>
        <w:rPr>
          <w:rFonts w:hint="eastAsia" w:ascii="Times New Roman" w:hAnsi="Times New Roman" w:eastAsia="仿宋_GB2312" w:cs="Times New Roman"/>
          <w:color w:val="auto"/>
          <w:kern w:val="0"/>
          <w:sz w:val="32"/>
          <w:szCs w:val="32"/>
          <w:highlight w:val="none"/>
          <w:shd w:val="clear" w:color="auto" w:fill="FFFFFF"/>
          <w:lang w:val="en-US" w:eastAsia="zh-CN"/>
        </w:rPr>
        <w:t>使用年限</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 xml:space="preserve"> 50年，</w:t>
      </w:r>
      <w:r>
        <w:rPr>
          <w:rFonts w:hint="eastAsia" w:ascii="Times New Roman" w:hAnsi="Times New Roman" w:eastAsia="仿宋_GB2312" w:cs="Times New Roman"/>
          <w:color w:val="auto"/>
          <w:kern w:val="0"/>
          <w:sz w:val="32"/>
          <w:szCs w:val="32"/>
          <w:highlight w:val="none"/>
          <w:shd w:val="clear" w:color="auto" w:fill="FFFFFF"/>
          <w:lang w:eastAsia="zh-CN"/>
        </w:rPr>
        <w:t>总价</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 xml:space="preserve"> 160.8948 </w:t>
      </w:r>
      <w:r>
        <w:rPr>
          <w:rFonts w:hint="default" w:ascii="Times New Roman" w:hAnsi="Times New Roman" w:eastAsia="仿宋_GB2312" w:cs="Times New Roman"/>
          <w:color w:val="auto"/>
          <w:kern w:val="0"/>
          <w:sz w:val="32"/>
          <w:szCs w:val="32"/>
          <w:highlight w:val="none"/>
          <w:u w:val="none"/>
          <w:shd w:val="clear" w:color="auto" w:fill="FFFFFF"/>
        </w:rPr>
        <w:t>万元</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一次性</w:t>
      </w:r>
      <w:r>
        <w:rPr>
          <w:rFonts w:hint="default" w:ascii="Times New Roman" w:hAnsi="Times New Roman" w:eastAsia="仿宋_GB2312" w:cs="Times New Roman"/>
          <w:color w:val="auto"/>
          <w:kern w:val="0"/>
          <w:sz w:val="32"/>
          <w:szCs w:val="32"/>
          <w:highlight w:val="none"/>
          <w:shd w:val="clear" w:color="auto" w:fill="FFFFFF"/>
        </w:rPr>
        <w:t>向</w:t>
      </w:r>
      <w:r>
        <w:rPr>
          <w:rFonts w:hint="default" w:ascii="Times New Roman" w:hAnsi="Times New Roman" w:eastAsia="仿宋_GB2312" w:cs="Times New Roman"/>
          <w:color w:val="auto"/>
          <w:kern w:val="0"/>
          <w:sz w:val="32"/>
          <w:szCs w:val="32"/>
          <w:highlight w:val="none"/>
          <w:u w:val="single"/>
          <w:shd w:val="clear" w:color="auto" w:fill="FFFFFF"/>
        </w:rPr>
        <w:t>村集体经济组织</w:t>
      </w:r>
      <w:r>
        <w:rPr>
          <w:rFonts w:hint="default" w:ascii="Times New Roman" w:hAnsi="Times New Roman" w:eastAsia="仿宋_GB2312" w:cs="Times New Roman"/>
          <w:color w:val="auto"/>
          <w:kern w:val="0"/>
          <w:sz w:val="32"/>
          <w:szCs w:val="32"/>
          <w:highlight w:val="none"/>
          <w:shd w:val="clear" w:color="auto" w:fill="FFFFFF"/>
        </w:rPr>
        <w:t>支付联营费用</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以评估报告为准</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rPr>
        <w:t>。</w:t>
      </w:r>
    </w:p>
    <w:p w14:paraId="19DA3741">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、产业准入要求和生态环境保护要求</w:t>
      </w:r>
      <w:r>
        <w:rPr>
          <w:rFonts w:hint="eastAsia" w:ascii="黑体" w:hAnsi="黑体" w:eastAsia="黑体" w:cs="黑体"/>
          <w:color w:val="auto"/>
          <w:sz w:val="32"/>
          <w:szCs w:val="32"/>
          <w:highlight w:val="none"/>
          <w:lang w:eastAsia="zh-CN"/>
        </w:rPr>
        <w:t>：</w:t>
      </w:r>
    </w:p>
    <w:p w14:paraId="480033DD">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项目于</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日，取得</w:t>
      </w:r>
      <w:r>
        <w:rPr>
          <w:rFonts w:hint="eastAsia" w:ascii="仿宋_GB2312" w:hAnsi="仿宋_GB2312" w:eastAsia="仿宋_GB2312" w:cs="仿宋_GB2312"/>
          <w:color w:val="auto"/>
          <w:sz w:val="32"/>
          <w:szCs w:val="32"/>
          <w:highlight w:val="none"/>
          <w:lang w:eastAsia="zh-CN"/>
        </w:rPr>
        <w:t>喀喇沁旗</w:t>
      </w:r>
      <w:r>
        <w:rPr>
          <w:rFonts w:hint="eastAsia" w:ascii="仿宋_GB2312" w:hAnsi="仿宋_GB2312" w:eastAsia="仿宋_GB2312" w:cs="仿宋_GB2312"/>
          <w:color w:val="auto"/>
          <w:sz w:val="32"/>
          <w:szCs w:val="32"/>
          <w:highlight w:val="none"/>
        </w:rPr>
        <w:t>发展和改革委员会《关于马鞍山旅游配套基础设施建设项目（一期）》核准的</w:t>
      </w:r>
      <w:r>
        <w:rPr>
          <w:rFonts w:hint="eastAsia" w:ascii="仿宋_GB2312" w:hAnsi="仿宋_GB2312" w:eastAsia="仿宋_GB2312" w:cs="仿宋_GB2312"/>
          <w:color w:val="auto"/>
          <w:sz w:val="32"/>
          <w:szCs w:val="32"/>
          <w:highlight w:val="none"/>
          <w:lang w:eastAsia="zh-CN"/>
        </w:rPr>
        <w:t>项目备案告知书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项目代码：2509-150428-04-01-580530</w:t>
      </w:r>
      <w:r>
        <w:rPr>
          <w:rFonts w:hint="eastAsia" w:ascii="仿宋_GB2312" w:hAnsi="仿宋_GB2312" w:eastAsia="仿宋_GB2312" w:cs="仿宋_GB2312"/>
          <w:color w:val="auto"/>
          <w:sz w:val="32"/>
          <w:szCs w:val="32"/>
          <w:highlight w:val="none"/>
        </w:rPr>
        <w:t>）。</w:t>
      </w:r>
    </w:p>
    <w:p w14:paraId="129901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color w:val="auto"/>
          <w:sz w:val="32"/>
          <w:szCs w:val="32"/>
          <w:highlight w:val="none"/>
        </w:rPr>
        <w:t>、</w:t>
      </w:r>
      <w:r>
        <w:rPr>
          <w:rFonts w:hint="eastAsia" w:ascii="黑体" w:hAnsi="黑体" w:eastAsia="黑体" w:cs="黑体"/>
          <w:i w:val="0"/>
          <w:iCs w:val="0"/>
          <w:caps w:val="0"/>
          <w:color w:val="auto"/>
          <w:spacing w:val="0"/>
          <w:sz w:val="32"/>
          <w:szCs w:val="32"/>
          <w:highlight w:val="none"/>
          <w:shd w:val="clear" w:color="auto" w:fill="FFFFFF"/>
          <w:lang w:eastAsia="zh-CN"/>
        </w:rPr>
        <w:t>联营</w:t>
      </w:r>
      <w:r>
        <w:rPr>
          <w:rFonts w:hint="eastAsia" w:ascii="黑体" w:hAnsi="黑体" w:eastAsia="黑体" w:cs="黑体"/>
          <w:i w:val="0"/>
          <w:iCs w:val="0"/>
          <w:caps w:val="0"/>
          <w:color w:val="auto"/>
          <w:spacing w:val="0"/>
          <w:sz w:val="32"/>
          <w:szCs w:val="32"/>
          <w:highlight w:val="none"/>
          <w:shd w:val="clear" w:color="auto" w:fill="FFFFFF"/>
        </w:rPr>
        <w:t>双方的权利义务及违约责任：</w:t>
      </w:r>
    </w:p>
    <w:p w14:paraId="1551DAD0">
      <w:pPr>
        <w:keepNext w:val="0"/>
        <w:keepLines w:val="0"/>
        <w:pageBreakBefore w:val="0"/>
        <w:widowControl/>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（一）河南街道马鞍山村村民委员会</w:t>
      </w:r>
      <w:r>
        <w:rPr>
          <w:rFonts w:hint="eastAsia" w:ascii="仿宋_GB2312" w:hAnsi="仿宋_GB2312" w:eastAsia="仿宋_GB2312" w:cs="仿宋_GB2312"/>
          <w:b/>
          <w:bCs/>
          <w:color w:val="auto"/>
          <w:sz w:val="32"/>
          <w:szCs w:val="32"/>
          <w:highlight w:val="none"/>
        </w:rPr>
        <w:t>工作职责</w:t>
      </w:r>
      <w:r>
        <w:rPr>
          <w:rFonts w:hint="eastAsia" w:ascii="仿宋_GB2312" w:hAnsi="仿宋_GB2312" w:eastAsia="仿宋_GB2312" w:cs="仿宋_GB2312"/>
          <w:color w:val="auto"/>
          <w:sz w:val="32"/>
          <w:szCs w:val="32"/>
          <w:highlight w:val="none"/>
        </w:rPr>
        <w:t>。</w:t>
      </w:r>
    </w:p>
    <w:p w14:paraId="642113C6">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1.河南街道</w:t>
      </w:r>
      <w:r>
        <w:rPr>
          <w:rFonts w:hint="eastAsia" w:ascii="仿宋" w:hAnsi="仿宋" w:eastAsia="仿宋" w:cs="仿宋"/>
          <w:b w:val="0"/>
          <w:bCs w:val="0"/>
          <w:color w:val="auto"/>
          <w:sz w:val="32"/>
          <w:szCs w:val="32"/>
          <w:highlight w:val="none"/>
          <w:lang w:val="en-US" w:eastAsia="zh-CN"/>
        </w:rPr>
        <w:t>马鞍山村</w:t>
      </w:r>
      <w:r>
        <w:rPr>
          <w:rFonts w:hint="eastAsia" w:ascii="仿宋_GB2312" w:hAnsi="仿宋_GB2312" w:eastAsia="仿宋_GB2312" w:cs="仿宋_GB2312"/>
          <w:color w:val="auto"/>
          <w:sz w:val="32"/>
          <w:szCs w:val="32"/>
          <w:highlight w:val="none"/>
          <w:lang w:val="en-US" w:eastAsia="zh-CN"/>
        </w:rPr>
        <w:t>村民委员会</w:t>
      </w:r>
      <w:r>
        <w:rPr>
          <w:rFonts w:hint="eastAsia" w:ascii="仿宋_GB2312" w:hAnsi="仿宋_GB2312" w:eastAsia="仿宋_GB2312" w:cs="仿宋_GB2312"/>
          <w:color w:val="auto"/>
          <w:sz w:val="32"/>
          <w:szCs w:val="32"/>
          <w:highlight w:val="none"/>
        </w:rPr>
        <w:t>是本项目</w:t>
      </w:r>
      <w:r>
        <w:rPr>
          <w:rFonts w:hint="eastAsia" w:ascii="仿宋_GB2312" w:hAnsi="仿宋_GB2312" w:eastAsia="仿宋_GB2312" w:cs="仿宋_GB2312"/>
          <w:color w:val="auto"/>
          <w:sz w:val="32"/>
          <w:szCs w:val="32"/>
          <w:highlight w:val="none"/>
          <w:lang w:eastAsia="zh-CN"/>
        </w:rPr>
        <w:t>以联营</w:t>
      </w:r>
      <w:r>
        <w:rPr>
          <w:rFonts w:hint="eastAsia" w:ascii="仿宋_GB2312" w:hAnsi="仿宋_GB2312" w:eastAsia="仿宋_GB2312" w:cs="仿宋_GB2312"/>
          <w:color w:val="auto"/>
          <w:sz w:val="32"/>
          <w:szCs w:val="32"/>
          <w:highlight w:val="none"/>
        </w:rPr>
        <w:t>方式办理集体用地工作的实施主体，</w:t>
      </w:r>
      <w:r>
        <w:rPr>
          <w:rFonts w:hint="eastAsia" w:ascii="仿宋_GB2312" w:hAnsi="仿宋_GB2312" w:eastAsia="仿宋_GB2312" w:cs="仿宋_GB2312"/>
          <w:color w:val="auto"/>
          <w:sz w:val="32"/>
          <w:szCs w:val="32"/>
          <w:highlight w:val="none"/>
          <w:lang w:val="en-US" w:eastAsia="zh-CN"/>
        </w:rPr>
        <w:t>河南街道</w:t>
      </w:r>
      <w:r>
        <w:rPr>
          <w:rFonts w:hint="eastAsia" w:ascii="仿宋" w:hAnsi="仿宋" w:eastAsia="仿宋" w:cs="仿宋"/>
          <w:b w:val="0"/>
          <w:bCs w:val="0"/>
          <w:color w:val="auto"/>
          <w:sz w:val="32"/>
          <w:szCs w:val="32"/>
          <w:highlight w:val="none"/>
          <w:lang w:val="en-US" w:eastAsia="zh-CN"/>
        </w:rPr>
        <w:t>马鞍山村</w:t>
      </w:r>
      <w:r>
        <w:rPr>
          <w:rFonts w:hint="eastAsia" w:ascii="仿宋_GB2312" w:hAnsi="仿宋_GB2312" w:eastAsia="仿宋_GB2312" w:cs="仿宋_GB2312"/>
          <w:color w:val="auto"/>
          <w:sz w:val="32"/>
          <w:szCs w:val="32"/>
          <w:highlight w:val="none"/>
          <w:lang w:val="en-US" w:eastAsia="zh-CN"/>
        </w:rPr>
        <w:t>村民委员会</w:t>
      </w:r>
      <w:r>
        <w:rPr>
          <w:rFonts w:hint="eastAsia" w:ascii="仿宋_GB2312" w:hAnsi="仿宋_GB2312" w:eastAsia="仿宋_GB2312" w:cs="仿宋_GB2312"/>
          <w:color w:val="auto"/>
          <w:sz w:val="32"/>
          <w:szCs w:val="32"/>
          <w:highlight w:val="none"/>
          <w:lang w:eastAsia="zh-CN"/>
        </w:rPr>
        <w:t>协调、组织办理</w:t>
      </w:r>
      <w:r>
        <w:rPr>
          <w:rFonts w:hint="eastAsia" w:ascii="仿宋_GB2312" w:hAnsi="仿宋_GB2312" w:eastAsia="仿宋_GB2312" w:cs="仿宋_GB2312"/>
          <w:color w:val="auto"/>
          <w:sz w:val="32"/>
          <w:szCs w:val="32"/>
          <w:highlight w:val="none"/>
        </w:rPr>
        <w:t>产业准入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生态环境保护</w:t>
      </w:r>
      <w:r>
        <w:rPr>
          <w:rFonts w:hint="eastAsia" w:ascii="仿宋_GB2312" w:hAnsi="仿宋_GB2312" w:eastAsia="仿宋_GB2312" w:cs="仿宋_GB2312"/>
          <w:color w:val="auto"/>
          <w:sz w:val="32"/>
          <w:szCs w:val="32"/>
          <w:highlight w:val="none"/>
          <w:lang w:eastAsia="zh-CN"/>
        </w:rPr>
        <w:t>、建设用地规划条件、使用权收回补偿、集体用地联营村民代表大会等</w:t>
      </w:r>
      <w:r>
        <w:rPr>
          <w:rFonts w:hint="eastAsia" w:ascii="仿宋_GB2312" w:hAnsi="仿宋_GB2312" w:eastAsia="仿宋_GB2312" w:cs="仿宋_GB2312"/>
          <w:color w:val="auto"/>
          <w:sz w:val="32"/>
          <w:szCs w:val="32"/>
          <w:highlight w:val="none"/>
        </w:rPr>
        <w:t>具体工作。</w:t>
      </w:r>
    </w:p>
    <w:p w14:paraId="22E80278">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切实做到依法</w:t>
      </w:r>
      <w:r>
        <w:rPr>
          <w:rFonts w:hint="eastAsia" w:ascii="仿宋_GB2312" w:hAnsi="仿宋_GB2312" w:eastAsia="仿宋_GB2312" w:cs="仿宋_GB2312"/>
          <w:color w:val="auto"/>
          <w:sz w:val="32"/>
          <w:szCs w:val="32"/>
          <w:highlight w:val="none"/>
          <w:lang w:eastAsia="zh-CN"/>
        </w:rPr>
        <w:t>办理</w:t>
      </w:r>
      <w:r>
        <w:rPr>
          <w:rFonts w:hint="eastAsia" w:ascii="仿宋_GB2312" w:hAnsi="仿宋_GB2312" w:eastAsia="仿宋_GB2312" w:cs="仿宋_GB2312"/>
          <w:color w:val="auto"/>
          <w:sz w:val="32"/>
          <w:szCs w:val="32"/>
          <w:highlight w:val="none"/>
        </w:rPr>
        <w:t>，保护</w:t>
      </w:r>
      <w:r>
        <w:rPr>
          <w:rFonts w:hint="eastAsia" w:ascii="仿宋_GB2312" w:hAnsi="仿宋_GB2312" w:eastAsia="仿宋_GB2312" w:cs="仿宋_GB2312"/>
          <w:color w:val="auto"/>
          <w:sz w:val="32"/>
          <w:szCs w:val="32"/>
          <w:highlight w:val="none"/>
          <w:lang w:eastAsia="zh-CN"/>
        </w:rPr>
        <w:t>土地使用权人及集体经济组织成员的</w:t>
      </w:r>
      <w:r>
        <w:rPr>
          <w:rFonts w:hint="eastAsia" w:ascii="仿宋_GB2312" w:hAnsi="仿宋_GB2312" w:eastAsia="仿宋_GB2312" w:cs="仿宋_GB2312"/>
          <w:color w:val="auto"/>
          <w:sz w:val="32"/>
          <w:szCs w:val="32"/>
          <w:highlight w:val="none"/>
        </w:rPr>
        <w:t>合法利益，并调处因联营方式办理集体用地引发的各类矛盾纠纷，确保</w:t>
      </w:r>
      <w:r>
        <w:rPr>
          <w:rFonts w:hint="eastAsia" w:ascii="仿宋_GB2312" w:hAnsi="仿宋_GB2312" w:eastAsia="仿宋_GB2312" w:cs="仿宋_GB2312"/>
          <w:color w:val="auto"/>
          <w:sz w:val="32"/>
          <w:szCs w:val="32"/>
          <w:highlight w:val="none"/>
          <w:lang w:val="en-US" w:eastAsia="zh-CN"/>
        </w:rPr>
        <w:t>项目顺利实施，维护</w:t>
      </w:r>
      <w:r>
        <w:rPr>
          <w:rFonts w:hint="eastAsia" w:ascii="仿宋_GB2312" w:hAnsi="仿宋_GB2312" w:eastAsia="仿宋_GB2312" w:cs="仿宋_GB2312"/>
          <w:color w:val="auto"/>
          <w:sz w:val="32"/>
          <w:szCs w:val="32"/>
          <w:highlight w:val="none"/>
        </w:rPr>
        <w:t>社会稳定。</w:t>
      </w:r>
    </w:p>
    <w:p w14:paraId="257BE03C">
      <w:pPr>
        <w:keepNext w:val="0"/>
        <w:keepLines w:val="0"/>
        <w:pageBreakBefore w:val="0"/>
        <w:widowControl/>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)合作企业工作职责。</w:t>
      </w:r>
    </w:p>
    <w:p w14:paraId="3C9F5ABB">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负责筹措用地及建设</w:t>
      </w:r>
      <w:r>
        <w:rPr>
          <w:rFonts w:hint="eastAsia" w:ascii="仿宋_GB2312" w:hAnsi="仿宋_GB2312" w:eastAsia="仿宋_GB2312" w:cs="仿宋_GB2312"/>
          <w:color w:val="auto"/>
          <w:sz w:val="32"/>
          <w:szCs w:val="32"/>
          <w:highlight w:val="none"/>
        </w:rPr>
        <w:t>所需资金。</w:t>
      </w:r>
    </w:p>
    <w:p w14:paraId="7D92F07C">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.协助解决项目施工中临时用地和电力通讯改移征占地</w:t>
      </w:r>
      <w:r>
        <w:rPr>
          <w:rFonts w:hint="eastAsia" w:ascii="仿宋_GB2312" w:hAnsi="仿宋_GB2312" w:eastAsia="仿宋_GB2312" w:cs="仿宋_GB2312"/>
          <w:color w:val="auto"/>
          <w:sz w:val="32"/>
          <w:szCs w:val="32"/>
          <w:highlight w:val="none"/>
          <w:lang w:eastAsia="zh-CN"/>
        </w:rPr>
        <w:t>，</w:t>
      </w:r>
    </w:p>
    <w:p w14:paraId="2B45B79B">
      <w:pPr>
        <w:keepNext w:val="0"/>
        <w:keepLines w:val="0"/>
        <w:pageBreakBefore w:val="0"/>
        <w:widowControl/>
        <w:kinsoku/>
        <w:wordWrap/>
        <w:overflowPunct/>
        <w:topLinePunct w:val="0"/>
        <w:autoSpaceDE w:val="0"/>
        <w:autoSpaceDN w:val="0"/>
        <w:bidi w:val="0"/>
        <w:adjustRightInd w:val="0"/>
        <w:snapToGrid w:val="0"/>
        <w:spacing w:line="640" w:lineRule="exact"/>
        <w:ind w:firstLine="0" w:firstLineChars="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并按照法律规定办理手续</w:t>
      </w:r>
      <w:r>
        <w:rPr>
          <w:rFonts w:hint="eastAsia" w:ascii="仿宋_GB2312" w:hAnsi="仿宋_GB2312" w:eastAsia="仿宋_GB2312" w:cs="仿宋_GB2312"/>
          <w:color w:val="auto"/>
          <w:sz w:val="32"/>
          <w:szCs w:val="32"/>
          <w:highlight w:val="none"/>
        </w:rPr>
        <w:t>。</w:t>
      </w:r>
    </w:p>
    <w:p w14:paraId="57822B21">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.协</w:t>
      </w:r>
      <w:r>
        <w:rPr>
          <w:rFonts w:hint="eastAsia" w:ascii="仿宋_GB2312" w:hAnsi="仿宋_GB2312" w:eastAsia="仿宋_GB2312" w:cs="仿宋_GB2312"/>
          <w:color w:val="auto"/>
          <w:sz w:val="32"/>
          <w:szCs w:val="32"/>
          <w:highlight w:val="none"/>
          <w:lang w:eastAsia="zh-CN"/>
        </w:rPr>
        <w:t>调</w:t>
      </w:r>
      <w:r>
        <w:rPr>
          <w:rFonts w:hint="eastAsia" w:ascii="仿宋_GB2312" w:hAnsi="仿宋_GB2312" w:eastAsia="仿宋_GB2312" w:cs="仿宋_GB2312"/>
          <w:color w:val="auto"/>
          <w:sz w:val="32"/>
          <w:szCs w:val="32"/>
          <w:highlight w:val="none"/>
        </w:rPr>
        <w:t>解决建设</w:t>
      </w:r>
      <w:r>
        <w:rPr>
          <w:rFonts w:hint="eastAsia" w:ascii="仿宋_GB2312" w:hAnsi="仿宋_GB2312" w:eastAsia="仿宋_GB2312" w:cs="仿宋_GB2312"/>
          <w:color w:val="auto"/>
          <w:sz w:val="32"/>
          <w:szCs w:val="32"/>
          <w:highlight w:val="none"/>
          <w:lang w:eastAsia="zh-CN"/>
        </w:rPr>
        <w:t>过程</w:t>
      </w:r>
      <w:r>
        <w:rPr>
          <w:rFonts w:hint="eastAsia" w:ascii="仿宋_GB2312" w:hAnsi="仿宋_GB2312" w:eastAsia="仿宋_GB2312" w:cs="仿宋_GB2312"/>
          <w:color w:val="auto"/>
          <w:sz w:val="32"/>
          <w:szCs w:val="32"/>
          <w:highlight w:val="none"/>
        </w:rPr>
        <w:t>中的水、电、路、通讯等保障工作。</w:t>
      </w:r>
    </w:p>
    <w:p w14:paraId="172A4632">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负责沟通自然资源主管</w:t>
      </w:r>
      <w:r>
        <w:rPr>
          <w:rFonts w:hint="eastAsia" w:ascii="仿宋_GB2312" w:hAnsi="仿宋_GB2312" w:eastAsia="仿宋_GB2312" w:cs="仿宋_GB2312"/>
          <w:color w:val="auto"/>
          <w:sz w:val="32"/>
          <w:szCs w:val="32"/>
          <w:highlight w:val="none"/>
        </w:rPr>
        <w:t>部门做好土地的组件审核、组织上报以及被征</w:t>
      </w:r>
      <w:r>
        <w:rPr>
          <w:rFonts w:hint="eastAsia" w:ascii="仿宋_GB2312" w:hAnsi="仿宋_GB2312" w:eastAsia="仿宋_GB2312" w:cs="仿宋_GB2312"/>
          <w:color w:val="auto"/>
          <w:sz w:val="32"/>
          <w:szCs w:val="32"/>
          <w:highlight w:val="none"/>
          <w:lang w:eastAsia="zh-CN"/>
        </w:rPr>
        <w:t>地农民社会保险相关工作，并落实相关资金。</w:t>
      </w:r>
    </w:p>
    <w:p w14:paraId="35F63466">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、其他要求</w:t>
      </w:r>
    </w:p>
    <w:p w14:paraId="2E770A6A">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喀喇沁旗河南街道管理办公室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河南街道马鞍山村村民委员会</w:t>
      </w:r>
      <w:r>
        <w:rPr>
          <w:rFonts w:hint="eastAsia" w:ascii="仿宋_GB2312" w:hAnsi="仿宋_GB2312" w:eastAsia="仿宋_GB2312" w:cs="仿宋_GB2312"/>
          <w:color w:val="auto"/>
          <w:sz w:val="32"/>
          <w:szCs w:val="32"/>
          <w:highlight w:val="none"/>
        </w:rPr>
        <w:t>和有关部门要坚持“公开、公正、公平”的原则，严格办事程序，严肃工作纪律。 对以权谋私、营私舞弊、索贿受贿、贪污挪用征地拆迁补偿款的，给予行政处分，触犯刑法的依法追究刑事责任。</w:t>
      </w:r>
    </w:p>
    <w:p w14:paraId="0FB82AF7">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在发布公告后，对个别群众在</w:t>
      </w:r>
      <w:r>
        <w:rPr>
          <w:rFonts w:hint="eastAsia" w:ascii="仿宋_GB2312" w:hAnsi="仿宋_GB2312" w:eastAsia="仿宋_GB2312" w:cs="仿宋_GB2312"/>
          <w:color w:val="auto"/>
          <w:sz w:val="32"/>
          <w:szCs w:val="32"/>
          <w:highlight w:val="none"/>
          <w:lang w:eastAsia="zh-CN"/>
        </w:rPr>
        <w:t>拟</w:t>
      </w:r>
      <w:r>
        <w:rPr>
          <w:rFonts w:hint="eastAsia" w:ascii="仿宋_GB2312" w:hAnsi="仿宋_GB2312" w:eastAsia="仿宋_GB2312" w:cs="仿宋_GB2312"/>
          <w:color w:val="auto"/>
          <w:sz w:val="32"/>
          <w:szCs w:val="32"/>
          <w:highlight w:val="none"/>
        </w:rPr>
        <w:t>用地范围内土地上抢种、抢栽植物、打井、架线或被拆迁人在宅院内外抢建房屋、棚舍、装修扩建等违规违法行为要严肃处理。</w:t>
      </w:r>
    </w:p>
    <w:p w14:paraId="17848CA7">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收回集体土地使用权及</w:t>
      </w:r>
      <w:r>
        <w:rPr>
          <w:rFonts w:hint="eastAsia" w:ascii="仿宋_GB2312" w:hAnsi="仿宋_GB2312" w:eastAsia="仿宋_GB2312" w:cs="仿宋_GB2312"/>
          <w:color w:val="auto"/>
          <w:sz w:val="32"/>
          <w:szCs w:val="32"/>
          <w:highlight w:val="none"/>
        </w:rPr>
        <w:t>拆迁过程中肆意滋事、无理取闹、妨碍执行公务的单位和个人，由公安机关按照治安管理法等有关法规予以处罚，构成犯罪的，依法追究刑事责任。</w:t>
      </w:r>
    </w:p>
    <w:p w14:paraId="7BA86A13">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本方案未尽事宜，可参照相关政策和相近标准执行</w:t>
      </w:r>
      <w:r>
        <w:rPr>
          <w:rFonts w:hint="eastAsia" w:ascii="仿宋_GB2312" w:hAnsi="仿宋_GB2312" w:eastAsia="仿宋_GB2312" w:cs="仿宋_GB2312"/>
          <w:color w:val="auto"/>
          <w:sz w:val="32"/>
          <w:szCs w:val="32"/>
          <w:highlight w:val="none"/>
          <w:lang w:eastAsia="zh-CN"/>
        </w:rPr>
        <w:t>。</w:t>
      </w:r>
    </w:p>
    <w:p w14:paraId="64724A99">
      <w:pPr>
        <w:rPr>
          <w:rFonts w:hint="eastAsia" w:ascii="仿宋_GB2312" w:hAnsi="仿宋_GB2312" w:eastAsia="仿宋_GB2312" w:cs="仿宋_GB2312"/>
          <w:color w:val="auto"/>
          <w:sz w:val="32"/>
          <w:szCs w:val="32"/>
          <w:highlight w:val="none"/>
          <w:lang w:eastAsia="zh-CN"/>
        </w:rPr>
      </w:pPr>
    </w:p>
    <w:p w14:paraId="7094D358">
      <w:pPr>
        <w:pStyle w:val="2"/>
        <w:numPr>
          <w:ilvl w:val="3"/>
          <w:numId w:val="0"/>
        </w:numPr>
        <w:ind w:leftChars="0"/>
        <w:rPr>
          <w:rFonts w:hint="eastAsia" w:ascii="仿宋_GB2312" w:hAnsi="仿宋_GB2312" w:eastAsia="仿宋_GB2312" w:cs="仿宋_GB2312"/>
          <w:color w:val="auto"/>
          <w:sz w:val="32"/>
          <w:szCs w:val="32"/>
          <w:highlight w:val="none"/>
          <w:lang w:eastAsia="zh-CN"/>
        </w:rPr>
      </w:pPr>
    </w:p>
    <w:p w14:paraId="2612CD6F">
      <w:pPr>
        <w:rPr>
          <w:rFonts w:hint="eastAsia" w:ascii="仿宋_GB2312" w:hAnsi="仿宋_GB2312" w:eastAsia="仿宋_GB2312" w:cs="仿宋_GB2312"/>
          <w:color w:val="auto"/>
          <w:sz w:val="32"/>
          <w:szCs w:val="32"/>
          <w:highlight w:val="none"/>
          <w:lang w:eastAsia="zh-CN"/>
        </w:rPr>
      </w:pPr>
    </w:p>
    <w:p w14:paraId="722CE2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righ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喀喇沁旗河南街道马鞍山村民委员会</w:t>
      </w:r>
    </w:p>
    <w:p w14:paraId="574E85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4800" w:firstLineChars="1500"/>
        <w:jc w:val="left"/>
        <w:textAlignment w:val="auto"/>
        <w:rPr>
          <w:rFonts w:hint="eastAsia" w:eastAsia="宋体"/>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2025</w:t>
      </w:r>
      <w:r>
        <w:rPr>
          <w:rFonts w:hint="eastAsia" w:ascii="仿宋_GB2312" w:hAnsi="仿宋_GB2312" w:eastAsia="仿宋_GB2312" w:cs="仿宋_GB2312"/>
          <w:i w:val="0"/>
          <w:iCs w:val="0"/>
          <w:caps w:val="0"/>
          <w:color w:val="auto"/>
          <w:spacing w:val="0"/>
          <w:sz w:val="32"/>
          <w:szCs w:val="32"/>
          <w:highlight w:val="none"/>
          <w:shd w:val="clear" w:color="auto" w:fill="FFFFFF"/>
        </w:rPr>
        <w:t>年</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iCs w:val="0"/>
          <w:caps w:val="0"/>
          <w:color w:val="auto"/>
          <w:spacing w:val="0"/>
          <w:sz w:val="32"/>
          <w:szCs w:val="32"/>
          <w:highlight w:val="none"/>
          <w:shd w:val="clear" w:color="auto" w:fill="FFFFFF"/>
        </w:rPr>
        <w:t>月</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29</w:t>
      </w:r>
      <w:bookmarkStart w:id="23" w:name="_GoBack"/>
      <w:bookmarkEnd w:id="23"/>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日</w:t>
      </w:r>
    </w:p>
    <w:sectPr>
      <w:footerReference r:id="rId5" w:type="default"/>
      <w:pgSz w:w="11870" w:h="16810"/>
      <w:pgMar w:top="1428" w:right="1650" w:bottom="1242" w:left="1704" w:header="0" w:footer="9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F4411E-BFE2-4CA5-B852-F4B3ADE1FC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03F7E7-26DD-41B3-9F77-50EBCBD20703}"/>
  </w:font>
  <w:font w:name="方正仿宋_GBK">
    <w:panose1 w:val="03000509000000000000"/>
    <w:charset w:val="86"/>
    <w:family w:val="auto"/>
    <w:pitch w:val="default"/>
    <w:sig w:usb0="00000001" w:usb1="080E0000" w:usb2="00000000" w:usb3="00000000" w:csb0="00040000" w:csb1="00000000"/>
    <w:embedRegular r:id="rId3" w:fontKey="{9186E83C-576D-4DA7-B50B-EFEE6BCF6458}"/>
  </w:font>
  <w:font w:name="方正小标宋简体">
    <w:panose1 w:val="03000509000000000000"/>
    <w:charset w:val="86"/>
    <w:family w:val="auto"/>
    <w:pitch w:val="default"/>
    <w:sig w:usb0="00000001" w:usb1="080E0000" w:usb2="00000000" w:usb3="00000000" w:csb0="00040000" w:csb1="00000000"/>
    <w:embedRegular r:id="rId4" w:fontKey="{4FA9F4AB-7316-4F24-B1FE-959D00932A32}"/>
  </w:font>
  <w:font w:name="仿宋_GB2312">
    <w:panose1 w:val="02010609030101010101"/>
    <w:charset w:val="86"/>
    <w:family w:val="modern"/>
    <w:pitch w:val="default"/>
    <w:sig w:usb0="00000001" w:usb1="080E0000" w:usb2="00000000" w:usb3="00000000" w:csb0="00040000" w:csb1="00000000"/>
    <w:embedRegular r:id="rId5" w:fontKey="{6EE1A0F9-8BE7-4926-BE7B-9FEA06126AFC}"/>
  </w:font>
  <w:font w:name="仿宋">
    <w:panose1 w:val="02010609060101010101"/>
    <w:charset w:val="86"/>
    <w:family w:val="auto"/>
    <w:pitch w:val="default"/>
    <w:sig w:usb0="800002BF" w:usb1="38CF7CFA" w:usb2="00000016" w:usb3="00000000" w:csb0="00040001" w:csb1="00000000"/>
    <w:embedRegular r:id="rId6" w:fontKey="{230E00B9-C97D-4438-AAEC-1D52D3B696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11EA">
    <w:pPr>
      <w:spacing w:before="1" w:line="182" w:lineRule="auto"/>
      <w:rPr>
        <w:rFonts w:ascii="宋体" w:hAnsi="宋体" w:eastAsia="宋体" w:cs="宋体"/>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NDFlYmY4NmVmZGNhZGQ1M2EzYTA4M2JiNmNlMGMifQ=="/>
  </w:docVars>
  <w:rsids>
    <w:rsidRoot w:val="00000000"/>
    <w:rsid w:val="003C28DE"/>
    <w:rsid w:val="008B1170"/>
    <w:rsid w:val="00B2278C"/>
    <w:rsid w:val="027619AC"/>
    <w:rsid w:val="02D94C72"/>
    <w:rsid w:val="038500F8"/>
    <w:rsid w:val="0385634A"/>
    <w:rsid w:val="04481F5A"/>
    <w:rsid w:val="046E6DDE"/>
    <w:rsid w:val="049631FD"/>
    <w:rsid w:val="04A71242"/>
    <w:rsid w:val="05942874"/>
    <w:rsid w:val="05ED5005"/>
    <w:rsid w:val="06616243"/>
    <w:rsid w:val="0671369D"/>
    <w:rsid w:val="06FF13BC"/>
    <w:rsid w:val="072D6C2A"/>
    <w:rsid w:val="07725E9C"/>
    <w:rsid w:val="077F47F7"/>
    <w:rsid w:val="08F37E2C"/>
    <w:rsid w:val="095742E5"/>
    <w:rsid w:val="097529BD"/>
    <w:rsid w:val="098F0433"/>
    <w:rsid w:val="09E87F93"/>
    <w:rsid w:val="0B8D0DF2"/>
    <w:rsid w:val="0CAD041D"/>
    <w:rsid w:val="0E63066B"/>
    <w:rsid w:val="0FBF0D62"/>
    <w:rsid w:val="0FC44C29"/>
    <w:rsid w:val="0FC5176E"/>
    <w:rsid w:val="0FCA3251"/>
    <w:rsid w:val="0FDA17CC"/>
    <w:rsid w:val="0FE12B5A"/>
    <w:rsid w:val="124B2486"/>
    <w:rsid w:val="12922832"/>
    <w:rsid w:val="12F42BA4"/>
    <w:rsid w:val="13E47868"/>
    <w:rsid w:val="14AB3F0B"/>
    <w:rsid w:val="14DB0FD2"/>
    <w:rsid w:val="15CF1A1E"/>
    <w:rsid w:val="17312619"/>
    <w:rsid w:val="173E694A"/>
    <w:rsid w:val="17EC65A3"/>
    <w:rsid w:val="17F83137"/>
    <w:rsid w:val="1987237F"/>
    <w:rsid w:val="19BC31BB"/>
    <w:rsid w:val="19CD38E1"/>
    <w:rsid w:val="1BD16B10"/>
    <w:rsid w:val="1C1114D5"/>
    <w:rsid w:val="1C262893"/>
    <w:rsid w:val="1CBD21DE"/>
    <w:rsid w:val="1CD160DD"/>
    <w:rsid w:val="1E4E48BB"/>
    <w:rsid w:val="1EA638ED"/>
    <w:rsid w:val="1EB47989"/>
    <w:rsid w:val="202F346E"/>
    <w:rsid w:val="22F716DA"/>
    <w:rsid w:val="23645B24"/>
    <w:rsid w:val="23DE2C20"/>
    <w:rsid w:val="241E5CD3"/>
    <w:rsid w:val="24B6729F"/>
    <w:rsid w:val="256B13EC"/>
    <w:rsid w:val="269E79D5"/>
    <w:rsid w:val="272F3ACF"/>
    <w:rsid w:val="27F136FF"/>
    <w:rsid w:val="289E602F"/>
    <w:rsid w:val="2C8959A9"/>
    <w:rsid w:val="2E21662A"/>
    <w:rsid w:val="2E701821"/>
    <w:rsid w:val="2EA17C2D"/>
    <w:rsid w:val="2EB0392B"/>
    <w:rsid w:val="2F5C61E3"/>
    <w:rsid w:val="31B165E1"/>
    <w:rsid w:val="33595A33"/>
    <w:rsid w:val="36372C24"/>
    <w:rsid w:val="368D1A1B"/>
    <w:rsid w:val="36BB1D6C"/>
    <w:rsid w:val="37203D70"/>
    <w:rsid w:val="38200DFB"/>
    <w:rsid w:val="38701C5D"/>
    <w:rsid w:val="38C33163"/>
    <w:rsid w:val="38FD7316"/>
    <w:rsid w:val="39B16708"/>
    <w:rsid w:val="3A2761A3"/>
    <w:rsid w:val="3B494C2A"/>
    <w:rsid w:val="3C111D1A"/>
    <w:rsid w:val="3DEA2078"/>
    <w:rsid w:val="3DFF671E"/>
    <w:rsid w:val="3EA66B99"/>
    <w:rsid w:val="401A3BCF"/>
    <w:rsid w:val="402370B8"/>
    <w:rsid w:val="40297384"/>
    <w:rsid w:val="40786313"/>
    <w:rsid w:val="40E1035D"/>
    <w:rsid w:val="41671A25"/>
    <w:rsid w:val="42671CB3"/>
    <w:rsid w:val="42B52046"/>
    <w:rsid w:val="42CF4E3E"/>
    <w:rsid w:val="44000AFA"/>
    <w:rsid w:val="461E725A"/>
    <w:rsid w:val="495F5B77"/>
    <w:rsid w:val="49601AD1"/>
    <w:rsid w:val="4BB25A89"/>
    <w:rsid w:val="4C0C0983"/>
    <w:rsid w:val="4DB90697"/>
    <w:rsid w:val="4DED0783"/>
    <w:rsid w:val="4F3C58B2"/>
    <w:rsid w:val="505A2029"/>
    <w:rsid w:val="5099030C"/>
    <w:rsid w:val="514439F7"/>
    <w:rsid w:val="53B4545D"/>
    <w:rsid w:val="541F6D7A"/>
    <w:rsid w:val="55CA58A4"/>
    <w:rsid w:val="56356D29"/>
    <w:rsid w:val="56F52014"/>
    <w:rsid w:val="58226696"/>
    <w:rsid w:val="58BF33E9"/>
    <w:rsid w:val="59903B8F"/>
    <w:rsid w:val="5A6F2C36"/>
    <w:rsid w:val="5CB20AA2"/>
    <w:rsid w:val="5E3E0745"/>
    <w:rsid w:val="5F603506"/>
    <w:rsid w:val="5FC767A1"/>
    <w:rsid w:val="600A1378"/>
    <w:rsid w:val="61A80FF4"/>
    <w:rsid w:val="62E90B99"/>
    <w:rsid w:val="65A90DDA"/>
    <w:rsid w:val="65BA5704"/>
    <w:rsid w:val="65C43C25"/>
    <w:rsid w:val="65F12E3A"/>
    <w:rsid w:val="65FA4DD5"/>
    <w:rsid w:val="66021EDD"/>
    <w:rsid w:val="661B4A88"/>
    <w:rsid w:val="667C62AE"/>
    <w:rsid w:val="66C60D7C"/>
    <w:rsid w:val="66F45E44"/>
    <w:rsid w:val="6934747A"/>
    <w:rsid w:val="69B61379"/>
    <w:rsid w:val="6A631BA4"/>
    <w:rsid w:val="6A7946BD"/>
    <w:rsid w:val="6A833E60"/>
    <w:rsid w:val="6AB52710"/>
    <w:rsid w:val="6C860D49"/>
    <w:rsid w:val="6D4A0EB4"/>
    <w:rsid w:val="6EA036EA"/>
    <w:rsid w:val="6F75477E"/>
    <w:rsid w:val="6F854425"/>
    <w:rsid w:val="71643D7A"/>
    <w:rsid w:val="72136679"/>
    <w:rsid w:val="754200FE"/>
    <w:rsid w:val="75D50741"/>
    <w:rsid w:val="78100640"/>
    <w:rsid w:val="78B33DB1"/>
    <w:rsid w:val="79C45B4A"/>
    <w:rsid w:val="7A0D664A"/>
    <w:rsid w:val="7BD15482"/>
    <w:rsid w:val="7BF21D62"/>
    <w:rsid w:val="7E672980"/>
    <w:rsid w:val="7FFE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qFormat/>
    <w:uiPriority w:val="9"/>
    <w:pPr>
      <w:numPr>
        <w:ilvl w:val="3"/>
        <w:numId w:val="1"/>
      </w:numPr>
      <w:outlineLvl w:val="3"/>
    </w:pPr>
    <w:rPr>
      <w:rFonts w:ascii="方正仿宋_GBK" w:hAnsi="方正仿宋_GBK" w:eastAsia="方正仿宋_GBK" w:cs="Times New Roman"/>
      <w:bCs/>
      <w:sz w:val="32"/>
      <w:szCs w:val="32"/>
      <w:lang w:val="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ind w:firstLine="0" w:firstLineChar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1"/>
    <w:next w:val="1"/>
    <w:unhideWhenUsed/>
    <w:qFormat/>
    <w:uiPriority w:val="99"/>
    <w:pPr>
      <w:ind w:firstLine="560" w:firstLineChars="200"/>
      <w:jc w:val="left"/>
    </w:pPr>
    <w:rPr>
      <w:rFonts w:ascii="Times New Roman" w:hAnsi="Times New Roman"/>
      <w:sz w:val="28"/>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NormalCharacter"/>
    <w:semiHidden/>
    <w:qFormat/>
    <w:uiPriority w:val="0"/>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1584</Words>
  <Characters>1680</Characters>
  <Lines>0</Lines>
  <Paragraphs>0</Paragraphs>
  <TotalTime>7</TotalTime>
  <ScaleCrop>false</ScaleCrop>
  <LinksUpToDate>false</LinksUpToDate>
  <CharactersWithSpaces>1692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2023-10-19T01:11:00Z</dcterms:created>
  <dc:creator>Administrator</dc:creator>
  <cp:lastModifiedBy>快乐的蜗牛</cp:lastModifiedBy>
  <cp:lastPrinted>2025-06-03T00:53:00Z</cp:lastPrinted>
  <dcterms:modified xsi:type="dcterms:W3CDTF">2025-11-28T06:46:50Z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260C66F8E5584974ADA7E705E751B529_13</vt:lpwstr>
  </property>
  <property fmtid="{D5CDD505-2E9C-101B-9397-08002B2CF9AE}" pid="4" name="KSOTemplateDocerSaveRecord">
    <vt:lpwstr>eyJoZGlkIjoiMTMyNGE2ZTc4ZDE1NDljYTY3YzRmYzQ0YzZmZjdiMDkiLCJ1c2VySWQiOiIyMzUyMTgwODQifQ==</vt:lpwstr>
  </property>
</Properties>
</file>