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BAC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105" w:afterAutospacing="0" w:line="400" w:lineRule="exact"/>
        <w:ind w:right="0"/>
        <w:jc w:val="center"/>
        <w:textAlignment w:val="auto"/>
        <w:rPr>
          <w:rFonts w:hint="eastAsia" w:ascii="微软雅黑" w:hAnsi="微软雅黑" w:eastAsia="微软雅黑" w:cs="微软雅黑"/>
          <w:b/>
          <w:bCs/>
          <w:i w:val="0"/>
          <w:iCs w:val="0"/>
          <w:caps w:val="0"/>
          <w:color w:val="333333"/>
          <w:spacing w:val="0"/>
          <w:sz w:val="36"/>
          <w:szCs w:val="36"/>
          <w:shd w:val="clear" w:fill="FFFFFF"/>
        </w:rPr>
      </w:pPr>
      <w:r>
        <w:rPr>
          <w:rFonts w:hint="eastAsia" w:ascii="微软雅黑" w:hAnsi="微软雅黑" w:eastAsia="微软雅黑" w:cs="微软雅黑"/>
          <w:b/>
          <w:bCs/>
          <w:i w:val="0"/>
          <w:iCs w:val="0"/>
          <w:caps w:val="0"/>
          <w:color w:val="333333"/>
          <w:spacing w:val="0"/>
          <w:sz w:val="36"/>
          <w:szCs w:val="36"/>
          <w:shd w:val="clear" w:fill="FFFFFF"/>
          <w:lang w:val="en-US" w:eastAsia="zh-CN"/>
        </w:rPr>
        <w:t>喀喇沁旗</w:t>
      </w:r>
      <w:r>
        <w:rPr>
          <w:rFonts w:hint="eastAsia" w:ascii="微软雅黑" w:hAnsi="微软雅黑" w:eastAsia="微软雅黑" w:cs="微软雅黑"/>
          <w:b/>
          <w:bCs/>
          <w:i w:val="0"/>
          <w:iCs w:val="0"/>
          <w:caps w:val="0"/>
          <w:color w:val="333333"/>
          <w:spacing w:val="0"/>
          <w:sz w:val="36"/>
          <w:szCs w:val="36"/>
          <w:shd w:val="clear" w:fill="FFFFFF"/>
        </w:rPr>
        <w:t>市场监督管理局从轻</w:t>
      </w:r>
      <w:r>
        <w:rPr>
          <w:rFonts w:hint="default" w:ascii="微软雅黑" w:hAnsi="微软雅黑" w:eastAsia="微软雅黑" w:cs="微软雅黑"/>
          <w:b/>
          <w:bCs/>
          <w:i w:val="0"/>
          <w:iCs w:val="0"/>
          <w:caps w:val="0"/>
          <w:color w:val="333333"/>
          <w:spacing w:val="0"/>
          <w:sz w:val="36"/>
          <w:szCs w:val="36"/>
          <w:shd w:val="clear" w:fill="FFFFFF"/>
          <w:lang w:val="en"/>
        </w:rPr>
        <w:t>行政</w:t>
      </w:r>
      <w:r>
        <w:rPr>
          <w:rFonts w:hint="eastAsia" w:ascii="微软雅黑" w:hAnsi="微软雅黑" w:eastAsia="微软雅黑" w:cs="微软雅黑"/>
          <w:b/>
          <w:bCs/>
          <w:i w:val="0"/>
          <w:iCs w:val="0"/>
          <w:caps w:val="0"/>
          <w:color w:val="333333"/>
          <w:spacing w:val="0"/>
          <w:sz w:val="36"/>
          <w:szCs w:val="36"/>
          <w:shd w:val="clear" w:fill="FFFFFF"/>
        </w:rPr>
        <w:t>处罚事项清单</w:t>
      </w:r>
    </w:p>
    <w:p w14:paraId="6517AE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105" w:afterAutospacing="0" w:line="400" w:lineRule="exact"/>
        <w:ind w:right="0"/>
        <w:jc w:val="both"/>
        <w:textAlignment w:val="auto"/>
        <w:rPr>
          <w:rFonts w:hint="default" w:ascii="CESI仿宋-GB2312" w:hAnsi="CESI仿宋-GB2312" w:eastAsia="CESI仿宋-GB2312" w:cs="CESI仿宋-GB2312"/>
          <w:b w:val="0"/>
          <w:bCs w:val="0"/>
          <w:i w:val="0"/>
          <w:iCs w:val="0"/>
          <w:caps w:val="0"/>
          <w:color w:val="333333"/>
          <w:spacing w:val="0"/>
          <w:sz w:val="28"/>
          <w:szCs w:val="28"/>
          <w:shd w:val="clear" w:fill="FFFFFF"/>
          <w:lang w:val="en-US" w:eastAsia="zh-CN"/>
        </w:rPr>
      </w:pPr>
      <w:r>
        <w:rPr>
          <w:rFonts w:hint="eastAsia" w:ascii="CESI仿宋-GB2312" w:hAnsi="CESI仿宋-GB2312" w:eastAsia="CESI仿宋-GB2312" w:cs="CESI仿宋-GB2312"/>
          <w:b w:val="0"/>
          <w:bCs w:val="0"/>
          <w:i w:val="0"/>
          <w:iCs w:val="0"/>
          <w:caps w:val="0"/>
          <w:color w:val="333333"/>
          <w:spacing w:val="0"/>
          <w:sz w:val="28"/>
          <w:szCs w:val="28"/>
          <w:shd w:val="clear" w:fill="FFFFFF"/>
          <w:lang w:eastAsia="zh-CN"/>
        </w:rPr>
        <w:t>填报单位：（公章）</w:t>
      </w:r>
      <w:r>
        <w:rPr>
          <w:rFonts w:hint="eastAsia" w:ascii="CESI仿宋-GB2312" w:hAnsi="CESI仿宋-GB2312" w:eastAsia="CESI仿宋-GB2312" w:cs="CESI仿宋-GB2312"/>
          <w:b w:val="0"/>
          <w:bCs w:val="0"/>
          <w:i w:val="0"/>
          <w:iCs w:val="0"/>
          <w:caps w:val="0"/>
          <w:color w:val="333333"/>
          <w:spacing w:val="0"/>
          <w:sz w:val="28"/>
          <w:szCs w:val="28"/>
          <w:shd w:val="clear" w:fill="FFFFFF"/>
          <w:lang w:val="en-US" w:eastAsia="zh-CN"/>
        </w:rPr>
        <w:t>喀喇沁旗市场监督管理局                                 填报日期：2024年8月30日</w:t>
      </w:r>
    </w:p>
    <w:tbl>
      <w:tblPr>
        <w:tblStyle w:val="3"/>
        <w:tblW w:w="14055" w:type="dxa"/>
        <w:tblInd w:w="0" w:type="dxa"/>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915"/>
        <w:gridCol w:w="1924"/>
        <w:gridCol w:w="1946"/>
        <w:gridCol w:w="7320"/>
        <w:gridCol w:w="1950"/>
      </w:tblGrid>
      <w:tr w14:paraId="418A488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6F24D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序号</w:t>
            </w:r>
          </w:p>
        </w:tc>
        <w:tc>
          <w:tcPr>
            <w:tcW w:w="1924" w:type="dxa"/>
            <w:tcBorders>
              <w:top w:val="single" w:color="auto" w:sz="8" w:space="0"/>
              <w:left w:val="nil"/>
              <w:bottom w:val="single" w:color="auto" w:sz="8" w:space="0"/>
              <w:right w:val="single" w:color="auto" w:sz="8" w:space="0"/>
            </w:tcBorders>
            <w:shd w:val="clear" w:color="auto" w:fill="FFFFFF"/>
            <w:tcMar>
              <w:top w:w="0" w:type="dxa"/>
              <w:left w:w="108" w:type="dxa"/>
              <w:right w:w="108" w:type="dxa"/>
            </w:tcMar>
            <w:vAlign w:val="center"/>
          </w:tcPr>
          <w:p w14:paraId="529A6A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处罚事项</w:t>
            </w:r>
          </w:p>
        </w:tc>
        <w:tc>
          <w:tcPr>
            <w:tcW w:w="1946" w:type="dxa"/>
            <w:tcBorders>
              <w:top w:val="single" w:color="auto" w:sz="8" w:space="0"/>
              <w:left w:val="nil"/>
              <w:bottom w:val="single" w:color="auto" w:sz="8" w:space="0"/>
              <w:right w:val="single" w:color="auto" w:sz="8" w:space="0"/>
            </w:tcBorders>
            <w:shd w:val="clear" w:color="auto" w:fill="FFFFFF"/>
            <w:tcMar>
              <w:top w:w="0" w:type="dxa"/>
              <w:left w:w="108" w:type="dxa"/>
              <w:right w:w="108" w:type="dxa"/>
            </w:tcMar>
            <w:vAlign w:val="center"/>
          </w:tcPr>
          <w:p w14:paraId="49C50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从轻处罚情形</w:t>
            </w:r>
          </w:p>
        </w:tc>
        <w:tc>
          <w:tcPr>
            <w:tcW w:w="7320" w:type="dxa"/>
            <w:tcBorders>
              <w:top w:val="single" w:color="auto" w:sz="8" w:space="0"/>
              <w:left w:val="nil"/>
              <w:bottom w:val="single" w:color="auto" w:sz="8" w:space="0"/>
              <w:right w:val="single" w:color="auto" w:sz="8" w:space="0"/>
            </w:tcBorders>
            <w:shd w:val="clear" w:color="auto" w:fill="FFFFFF"/>
            <w:tcMar>
              <w:top w:w="0" w:type="dxa"/>
              <w:left w:w="108" w:type="dxa"/>
              <w:right w:w="108" w:type="dxa"/>
            </w:tcMar>
            <w:vAlign w:val="center"/>
          </w:tcPr>
          <w:p w14:paraId="5B1F43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从轻处罚依据</w:t>
            </w:r>
          </w:p>
        </w:tc>
        <w:tc>
          <w:tcPr>
            <w:tcW w:w="1950" w:type="dxa"/>
            <w:tcBorders>
              <w:top w:val="single" w:color="auto" w:sz="8" w:space="0"/>
              <w:left w:val="nil"/>
              <w:bottom w:val="single" w:color="auto" w:sz="8" w:space="0"/>
              <w:right w:val="single" w:color="auto" w:sz="8" w:space="0"/>
            </w:tcBorders>
            <w:shd w:val="clear" w:color="auto" w:fill="FFFFFF"/>
            <w:tcMar>
              <w:top w:w="0" w:type="dxa"/>
              <w:left w:w="108" w:type="dxa"/>
              <w:right w:w="108" w:type="dxa"/>
            </w:tcMar>
            <w:vAlign w:val="center"/>
          </w:tcPr>
          <w:p w14:paraId="7AE87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center"/>
              <w:rPr>
                <w:rFonts w:hint="eastAsia" w:ascii="微软雅黑" w:hAnsi="微软雅黑" w:eastAsia="微软雅黑" w:cs="微软雅黑"/>
                <w:sz w:val="28"/>
                <w:szCs w:val="28"/>
              </w:rPr>
            </w:pPr>
            <w:r>
              <w:rPr>
                <w:rStyle w:val="5"/>
                <w:rFonts w:hint="eastAsia" w:ascii="微软雅黑" w:hAnsi="微软雅黑" w:eastAsia="微软雅黑" w:cs="微软雅黑"/>
                <w:b/>
                <w:bCs/>
                <w:i w:val="0"/>
                <w:iCs w:val="0"/>
                <w:caps w:val="0"/>
                <w:color w:val="333333"/>
                <w:spacing w:val="0"/>
                <w:sz w:val="28"/>
                <w:szCs w:val="28"/>
              </w:rPr>
              <w:t>配套监管措施</w:t>
            </w:r>
          </w:p>
        </w:tc>
      </w:tr>
      <w:tr w14:paraId="3B444977">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528B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DAC94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对电子商务经营者违反规定提供搜索结果的处罚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70D1B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BB71C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七十七条“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w:t>
            </w:r>
            <w:bookmarkStart w:id="0" w:name="_GoBack"/>
            <w:bookmarkEnd w:id="0"/>
            <w:r>
              <w:rPr>
                <w:rFonts w:hint="eastAsia" w:ascii="CESI仿宋-GB2312" w:hAnsi="CESI仿宋-GB2312" w:eastAsia="CESI仿宋-GB2312" w:cs="CESI仿宋-GB2312"/>
                <w:i w:val="0"/>
                <w:iCs w:val="0"/>
                <w:caps w:val="0"/>
                <w:color w:val="333333"/>
                <w:spacing w:val="0"/>
                <w:sz w:val="21"/>
                <w:szCs w:val="21"/>
              </w:rPr>
              <w:t>元以上五十万元以下的罚款。”、《行政处罚法》第三十二条“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EBF33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24B00572">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10B008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AEE55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对电子商务经营者违反规定搭售商品、服务的处罚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7079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CB58B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七十七条“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FE20A1D">
            <w:pPr>
              <w:rPr>
                <w:rFonts w:hint="eastAsia" w:ascii="CESI仿宋-GB2312" w:hAnsi="CESI仿宋-GB2312" w:eastAsia="CESI仿宋-GB2312" w:cs="CESI仿宋-GB2312"/>
                <w:i w:val="0"/>
                <w:iCs w:val="0"/>
                <w:caps w:val="0"/>
                <w:color w:val="333333"/>
                <w:spacing w:val="0"/>
                <w:sz w:val="21"/>
                <w:szCs w:val="21"/>
              </w:rPr>
            </w:pPr>
          </w:p>
        </w:tc>
      </w:tr>
      <w:tr w14:paraId="2E48229B">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A94AE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82C7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对电子商务经营者未向消费者明示押金退还的方式、程序，对押金退还设置不合理条件，或者不及时退还押金的处罚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3F9D8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EE2D1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七十八条“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2577502">
            <w:pPr>
              <w:rPr>
                <w:rFonts w:hint="eastAsia" w:ascii="CESI仿宋-GB2312" w:hAnsi="CESI仿宋-GB2312" w:eastAsia="CESI仿宋-GB2312" w:cs="CESI仿宋-GB2312"/>
                <w:i w:val="0"/>
                <w:iCs w:val="0"/>
                <w:caps w:val="0"/>
                <w:color w:val="333333"/>
                <w:spacing w:val="0"/>
                <w:sz w:val="21"/>
                <w:szCs w:val="21"/>
              </w:rPr>
            </w:pPr>
          </w:p>
        </w:tc>
      </w:tr>
      <w:tr w14:paraId="4875724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511"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70A72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ED2E8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对电子商务平台经营者对平台内经营者不履行核验、登记义务的处罚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76981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6127E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八十条第一款第一项“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BD912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1AD69C2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1386F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5</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87E9C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对电子商务平台经营者不按规定向市场监督管理部门报送有关信息的处罚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5AF35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1FFD7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《电子商务法》第八十条第一款第二项“不按照本法第二十八条规定向市场监督管理部门……报送有关信息的；”</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0DF59E8">
            <w:pPr>
              <w:rPr>
                <w:rFonts w:hint="eastAsia" w:ascii="CESI仿宋-GB2312" w:hAnsi="CESI仿宋-GB2312" w:eastAsia="CESI仿宋-GB2312" w:cs="CESI仿宋-GB2312"/>
                <w:i w:val="0"/>
                <w:iCs w:val="0"/>
                <w:caps w:val="0"/>
                <w:color w:val="333333"/>
                <w:spacing w:val="0"/>
                <w:sz w:val="21"/>
                <w:szCs w:val="21"/>
              </w:rPr>
            </w:pPr>
          </w:p>
        </w:tc>
      </w:tr>
      <w:tr w14:paraId="445F3040">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A21C5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6</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DDED2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对电子商务平台经营者不按规定对违法情形采取必要的处置措施，或者未向有关主管部门报告的处罚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DA05E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88DF3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《电子商务法》第八十条第一款第三项“不按照本法第二十九条规定对违法情形采取必要的处置措施，或者未向有关主管部门报告的；”</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CADBE10">
            <w:pPr>
              <w:rPr>
                <w:rFonts w:hint="eastAsia" w:ascii="CESI仿宋-GB2312" w:hAnsi="CESI仿宋-GB2312" w:eastAsia="CESI仿宋-GB2312" w:cs="CESI仿宋-GB2312"/>
                <w:i w:val="0"/>
                <w:iCs w:val="0"/>
                <w:caps w:val="0"/>
                <w:color w:val="333333"/>
                <w:spacing w:val="0"/>
                <w:sz w:val="21"/>
                <w:szCs w:val="21"/>
              </w:rPr>
            </w:pPr>
          </w:p>
        </w:tc>
      </w:tr>
      <w:tr w14:paraId="429A57A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2E1FE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7</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98D44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对电子商务平台经营者不履行商品和服务信息、交易信息保存义务的处罚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422D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6C885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《电子商务法》第八十条第一款第四项“不履行本法第三十一条规定的商品和服务信息、交易信息保存义务的。”</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C18C4B5">
            <w:pPr>
              <w:rPr>
                <w:rFonts w:hint="eastAsia" w:ascii="CESI仿宋-GB2312" w:hAnsi="CESI仿宋-GB2312" w:eastAsia="CESI仿宋-GB2312" w:cs="CESI仿宋-GB2312"/>
                <w:i w:val="0"/>
                <w:iCs w:val="0"/>
                <w:caps w:val="0"/>
                <w:color w:val="333333"/>
                <w:spacing w:val="0"/>
                <w:sz w:val="21"/>
                <w:szCs w:val="21"/>
              </w:rPr>
            </w:pPr>
          </w:p>
        </w:tc>
      </w:tr>
      <w:tr w14:paraId="532832D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84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25DA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8</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D0FB8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对电子商务平台经营者未在首页显著位置持续公示平台服务协议、交易规则信息或者上述信息的链接标识的处罚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630E8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未在首页显著位置公示或者链接标识，但具有法定从轻情节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33351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八十一条第一款第一项“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 、《行政处罚法》第三十二条　　</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69305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52ABD3E1">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E19A4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9</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28A56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对电子商务平台经营者修改交易规则未在首页显著位置公开征求意见的处罚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C196A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0FCF0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八十一条第一款第二项“电子商务平台经营者违反本法规定，有下列行为之一的，由市场监督管理部门责令限期改正，可以处二万元以上十万元以下的罚款；情节严重的，处十万元以上五十万元以下的罚款：（二）修改交易规则未在首页显著位置公开征求意见，未按照规定的时间提前公示修改内容，或者阻止平台内经营者退出的；” 、《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AD907B4">
            <w:pPr>
              <w:rPr>
                <w:rFonts w:hint="eastAsia" w:ascii="CESI仿宋-GB2312" w:hAnsi="CESI仿宋-GB2312" w:eastAsia="CESI仿宋-GB2312" w:cs="CESI仿宋-GB2312"/>
                <w:i w:val="0"/>
                <w:iCs w:val="0"/>
                <w:caps w:val="0"/>
                <w:color w:val="333333"/>
                <w:spacing w:val="0"/>
                <w:sz w:val="21"/>
                <w:szCs w:val="21"/>
              </w:rPr>
            </w:pPr>
          </w:p>
        </w:tc>
      </w:tr>
      <w:tr w14:paraId="78330EB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671"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E5C18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10</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29AAA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对电子商务平台经营者未以显著方式区分自营业务和平台经营者开展的业务的处罚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04880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区分标记了自营业务和平台内经营者开展的业务，但方式不显著的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97EE9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八十一条第一款第三项“电子商务平台经营者违反本法规定，有下列行为之一的，由市场监督管理部门责令限期改正，可以处二万元以上十万元以下的罚款；情节严重的，处十万元以上五十万元以下的罚款：（三）未以显著方式区分标记自营业务和平台内经营者开展的业务的；”</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9AB5CD9">
            <w:pPr>
              <w:rPr>
                <w:rFonts w:hint="eastAsia" w:ascii="CESI仿宋-GB2312" w:hAnsi="CESI仿宋-GB2312" w:eastAsia="CESI仿宋-GB2312" w:cs="CESI仿宋-GB2312"/>
                <w:i w:val="0"/>
                <w:iCs w:val="0"/>
                <w:caps w:val="0"/>
                <w:color w:val="333333"/>
                <w:spacing w:val="0"/>
                <w:sz w:val="21"/>
                <w:szCs w:val="21"/>
              </w:rPr>
            </w:pPr>
          </w:p>
        </w:tc>
      </w:tr>
      <w:tr w14:paraId="6030EE9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50C90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11</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BDDA1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对电子商务平台经营者未为消费者提供对平台内销售的商品或者提供的服务进行评价的途径的处罚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6D21F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99A2A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电子商务法》第八十一条第一款第三项“电子商务平台经营者违反本法规定，有下列行为之一的，由市场监督管理部门责令限期改正，可以处二万元以上十万元以下的罚款；情节严重的，处十万元以上五十万元以下的罚款：（四）未为消费者提供对平台内销售的商品或者提供的服务进行评价的途径……” 、《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4090132">
            <w:pPr>
              <w:rPr>
                <w:rFonts w:hint="eastAsia" w:ascii="CESI仿宋-GB2312" w:hAnsi="CESI仿宋-GB2312" w:eastAsia="CESI仿宋-GB2312" w:cs="CESI仿宋-GB2312"/>
                <w:i w:val="0"/>
                <w:iCs w:val="0"/>
                <w:caps w:val="0"/>
                <w:color w:val="333333"/>
                <w:spacing w:val="0"/>
                <w:sz w:val="21"/>
                <w:szCs w:val="21"/>
              </w:rPr>
            </w:pPr>
          </w:p>
        </w:tc>
      </w:tr>
      <w:tr w14:paraId="024F0A1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CC38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12</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6D9C3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对从事网络商品交易的自然人未通过第三方交易平台开展经营活动，或者未提交真实身份信息，或者具备登记注册条件而未依法办理登记的处罚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FEF02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向第三方交易平台提交的真实身份信息缺少一至二项的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D4A64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网络交易监督管理办法》第四十七条“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72064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19B07FB7">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92CBC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13</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D4D59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对混淆行为的处罚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F9B4D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9A0DD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反不正当竞争法》第十八条“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613AE36">
            <w:pPr>
              <w:rPr>
                <w:rFonts w:hint="eastAsia" w:ascii="CESI仿宋-GB2312" w:hAnsi="CESI仿宋-GB2312" w:eastAsia="CESI仿宋-GB2312" w:cs="CESI仿宋-GB2312"/>
                <w:i w:val="0"/>
                <w:iCs w:val="0"/>
                <w:caps w:val="0"/>
                <w:color w:val="333333"/>
                <w:spacing w:val="0"/>
                <w:sz w:val="21"/>
                <w:szCs w:val="21"/>
              </w:rPr>
            </w:pPr>
          </w:p>
        </w:tc>
      </w:tr>
      <w:tr w14:paraId="59DE1BB2">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322"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1F241B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14</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C082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对零售商供应商从事不公平交易或妨碍公平竞争行为的处罚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B971F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7C65F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零售商供应商公平交易管理办法》第二十一条“各地商务、价格、税务、工商等部门依照法律法规及本办法，在各自的职责范围内对本办法规定的行为进行监督管理。对涉嫌犯罪的，由公安机关依法予以查处。”第二十三条“零售商或者供应商违反本办法规定的，法律法规有规定的，从其规定；没有规定的，责令改正；有违法所得的，可处违法所得三倍以下罚款，但最高不超过三万元；没有违法所得的，可处一万元以下罚款；并可向社会公告。”、《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DECA83B">
            <w:pPr>
              <w:rPr>
                <w:rFonts w:hint="eastAsia" w:ascii="CESI仿宋-GB2312" w:hAnsi="CESI仿宋-GB2312" w:eastAsia="CESI仿宋-GB2312" w:cs="CESI仿宋-GB2312"/>
                <w:i w:val="0"/>
                <w:iCs w:val="0"/>
                <w:caps w:val="0"/>
                <w:color w:val="333333"/>
                <w:spacing w:val="0"/>
                <w:sz w:val="21"/>
                <w:szCs w:val="21"/>
              </w:rPr>
            </w:pPr>
          </w:p>
        </w:tc>
      </w:tr>
      <w:tr w14:paraId="6DA5363E">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3965"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59DA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15</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1D203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对直销企业有关申请事项发生重大变更，未报经国务院商务主管部门批准的处罚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8BE86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3C155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直销管理条例》第四十一条“直销企业违反本条例第十一条规定的，由工商行政管理部门责令改正，处3万元以上30万元以下的罚款；对不再符合直销经营许可条件的，由国务院商务主管部门吊销其直销经营许可证。”第十一条“直销企业有关本条例第八条第一项、第二项、第三项、第五项、第六项、第七项所列内容发生重大变更的，应当依照本条例第九条第一款规定的程序报国务院商务主管部门批准。”第九条“申请人应当通过所在地省、自治区、直辖市商务主管部门向国务院商务主管部门提出申请。省、自治区、直辖市商务主管部门应当自收到申请文件、资料之日起7日内，将申请文件、资料报送国务院商务主管部门。国务院商务主管部门应当自收到全部申请文件、资料之日起90日内，经征求国务院工商行政管理部门的意见，作出批准或者不予批准的决定。予以批准的，由国务院商务主管部门颁发直销经营许可证。”、《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61281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395F5E7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170DF8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16</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CEEF9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对直销企业违规进行直销员业务培训，或者直销企业以外的单位和个人组织直销员业务培训的处罚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394C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29E08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直销管理条例》第四十六条“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直销企业以外的单位和个人组织直销员业务培训的，由工商行政管理部门责令改正，没收违法所得，处2万元以上20万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F9D0237">
            <w:pPr>
              <w:rPr>
                <w:rFonts w:hint="eastAsia" w:ascii="CESI仿宋-GB2312" w:hAnsi="CESI仿宋-GB2312" w:eastAsia="CESI仿宋-GB2312" w:cs="CESI仿宋-GB2312"/>
                <w:i w:val="0"/>
                <w:iCs w:val="0"/>
                <w:caps w:val="0"/>
                <w:color w:val="333333"/>
                <w:spacing w:val="0"/>
                <w:sz w:val="21"/>
                <w:szCs w:val="21"/>
              </w:rPr>
            </w:pPr>
          </w:p>
        </w:tc>
      </w:tr>
      <w:tr w14:paraId="16EA7BD1">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EF8D9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17</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5F10C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对直销企业违规支付直销员报酬行为的处罚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B765C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896BA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直销管理条例》第四十九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第二十四条“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 、《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99F7E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514AECB6">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386F4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18</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98E2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对直销企业及其分支机构、服务网点和直销员未实行完善的换货、退货制度的处罚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61534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DD428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直销管理条例》第四十九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 第二十五条“直销企业应当建立并实行完善的换货和退货制度。”、《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441AB3E">
            <w:pPr>
              <w:rPr>
                <w:rFonts w:hint="eastAsia" w:ascii="CESI仿宋-GB2312" w:hAnsi="CESI仿宋-GB2312" w:eastAsia="CESI仿宋-GB2312" w:cs="CESI仿宋-GB2312"/>
                <w:i w:val="0"/>
                <w:iCs w:val="0"/>
                <w:caps w:val="0"/>
                <w:color w:val="333333"/>
                <w:spacing w:val="0"/>
                <w:sz w:val="21"/>
                <w:szCs w:val="21"/>
              </w:rPr>
            </w:pPr>
          </w:p>
        </w:tc>
      </w:tr>
      <w:tr w14:paraId="2AE9482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06D3A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19</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B06A2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对未经批准擅自销售卫星地面接收设施的处罚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A718C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8E8D8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卫星电视广播地面接收设施管理规定》第十条第二款“违反本规定，擅自销售卫星地面接收设施的，由市场监督管理部门责令停止销售，没收其卫星地面接收设施，并可以处以相当于销售额2倍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47ADDE9">
            <w:pPr>
              <w:rPr>
                <w:rFonts w:hint="eastAsia" w:ascii="CESI仿宋-GB2312" w:hAnsi="CESI仿宋-GB2312" w:eastAsia="CESI仿宋-GB2312" w:cs="CESI仿宋-GB2312"/>
                <w:i w:val="0"/>
                <w:iCs w:val="0"/>
                <w:caps w:val="0"/>
                <w:color w:val="333333"/>
                <w:spacing w:val="0"/>
                <w:sz w:val="21"/>
                <w:szCs w:val="21"/>
              </w:rPr>
            </w:pPr>
          </w:p>
        </w:tc>
      </w:tr>
      <w:tr w14:paraId="5E4BE4D6">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FB2AC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20</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DACF2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对个人独资企业使用的名称与其在登记机关登记的名称不相符合的处罚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2C7E9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5F6F7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《个人独资企业法》第三十四条“违反本法规定，个人独资企业使用的名称与其在登记机关登记的名称不相符合的，责令限期改正，处以二千元以下的罚款。”、《行政处罚法》第三十二条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F37C3BA">
            <w:pPr>
              <w:rPr>
                <w:rFonts w:hint="eastAsia" w:ascii="CESI仿宋-GB2312" w:hAnsi="CESI仿宋-GB2312" w:eastAsia="CESI仿宋-GB2312" w:cs="CESI仿宋-GB2312"/>
                <w:i w:val="0"/>
                <w:iCs w:val="0"/>
                <w:caps w:val="0"/>
                <w:color w:val="333333"/>
                <w:spacing w:val="0"/>
                <w:sz w:val="21"/>
                <w:szCs w:val="21"/>
              </w:rPr>
            </w:pPr>
          </w:p>
        </w:tc>
      </w:tr>
      <w:tr w14:paraId="5B575C37">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78F2D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21</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EB856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对未领取营业执照，以个人独资企业名义从事经营活动的处罚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49AD0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3A37B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《个人独资企业法》第三十七条第一款“违反本法规定，未领取营业执照，以个人独资企业名义从事经营活动的，责令停止经营活动，处以三千元以下的罚款。”、《行政处罚法》第三十二条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AEBF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6D93C1C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716A1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22</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80E4B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对个人独资企业未按规定办理变更事项登记的处罚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20F43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958B5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《个人独资企业法》第三十七条第二款“个人独资企业登记事项发生变更时，未按本法规定办理有关变更登记的，责令限期办理变更登记；逾期不办理的，处以二千元以下的罚款。”、《行政处罚法》第三十二条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6FF2C5F">
            <w:pPr>
              <w:rPr>
                <w:rFonts w:hint="eastAsia" w:ascii="CESI仿宋-GB2312" w:hAnsi="CESI仿宋-GB2312" w:eastAsia="CESI仿宋-GB2312" w:cs="CESI仿宋-GB2312"/>
                <w:i w:val="0"/>
                <w:iCs w:val="0"/>
                <w:caps w:val="0"/>
                <w:color w:val="333333"/>
                <w:spacing w:val="0"/>
                <w:sz w:val="21"/>
                <w:szCs w:val="21"/>
              </w:rPr>
            </w:pPr>
          </w:p>
        </w:tc>
      </w:tr>
      <w:tr w14:paraId="31C4759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8BEF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23</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637C5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对未领取营业执照，而以合伙企业或者合伙企业分支机构名义从事合伙业务的处罚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16BB8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3CD95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合伙企业法》第九十五条第一款“违反本法规定，未领取营业执照，而以合伙企业或者合伙企业分支机构名义从事合伙业务的，由企业登记机关责令停止，处以五千元以上五万元以下的罚款。 合伙企业登记事项发生变更时，未依照本法规定办理变更登记的，由企业登记机关责令限期登记；逾期不登记的，处以二千元以上二万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000ACA6">
            <w:pPr>
              <w:rPr>
                <w:rFonts w:hint="eastAsia" w:ascii="CESI仿宋-GB2312" w:hAnsi="CESI仿宋-GB2312" w:eastAsia="CESI仿宋-GB2312" w:cs="CESI仿宋-GB2312"/>
                <w:i w:val="0"/>
                <w:iCs w:val="0"/>
                <w:caps w:val="0"/>
                <w:color w:val="333333"/>
                <w:spacing w:val="0"/>
                <w:sz w:val="21"/>
                <w:szCs w:val="21"/>
              </w:rPr>
            </w:pPr>
          </w:p>
        </w:tc>
      </w:tr>
      <w:tr w14:paraId="4478706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37FC3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24</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31D54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对合伙企业未按规定办理变更事项登记的处罚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518C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25201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合伙企业法》第九十五条第二款“合伙企业登记事项发生变更时，未依照本法规定办理变更登记的，由企业登记机关责令限期登记；逾期不登记的，处以二千元以上二万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D3AA095">
            <w:pPr>
              <w:rPr>
                <w:rFonts w:hint="eastAsia" w:ascii="CESI仿宋-GB2312" w:hAnsi="CESI仿宋-GB2312" w:eastAsia="CESI仿宋-GB2312" w:cs="CESI仿宋-GB2312"/>
                <w:i w:val="0"/>
                <w:iCs w:val="0"/>
                <w:caps w:val="0"/>
                <w:color w:val="333333"/>
                <w:spacing w:val="0"/>
                <w:sz w:val="21"/>
                <w:szCs w:val="21"/>
              </w:rPr>
            </w:pPr>
          </w:p>
        </w:tc>
      </w:tr>
      <w:tr w14:paraId="4F9AA0AF">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18F9F1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25</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DE8C0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集体、证明商标注册人违反商标使用管理规则的处罚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7DD68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7FD15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集体商标、证明商标注册和管理办法》第二十二条“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02B9A1E">
            <w:pPr>
              <w:rPr>
                <w:rFonts w:hint="eastAsia" w:ascii="CESI仿宋-GB2312" w:hAnsi="CESI仿宋-GB2312" w:eastAsia="CESI仿宋-GB2312" w:cs="CESI仿宋-GB2312"/>
                <w:i w:val="0"/>
                <w:iCs w:val="0"/>
                <w:caps w:val="0"/>
                <w:color w:val="333333"/>
                <w:spacing w:val="0"/>
                <w:sz w:val="21"/>
                <w:szCs w:val="21"/>
              </w:rPr>
            </w:pPr>
          </w:p>
        </w:tc>
      </w:tr>
      <w:tr w14:paraId="7A791ED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FAB2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26</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C4AE5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对合伙企业未在其名称中标明“普通合伙”、“特殊普通合伙”或者“有限合伙”字样的处罚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6A335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违法行为持续一个月以下，具有法定从轻情节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9423E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合伙企业法》第九十四条“违反本法规定，合伙企业未在其名称中标明“普通合伙”、“特殊普通合伙”或者“有限合伙”字样的，由企业登记机关责令限期改正，处以二千元以上一万元以下的罚款。”、《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205EE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0E8B1BD8">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8CE3D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27</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293FB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对生产、进口、销售不符合强制性能源效率标准的用能产品、设备的处罚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EDA21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违法产品、设备尚未销售的，具有法定从轻情节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E422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textAlignment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节约能源法》第七十条“生产、进口、销售不符合强制性能源效率标准的用能产品、设备的，由产品质量监督部门责令停止生产、进口、销售，没收违法生产、进口、销售的用能产品、设备和违法所得，并处违法所得一倍以上五倍以下罚款；情节严重的，由工商行政管理部门吊销营业执照。”、《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A4A26AF">
            <w:pPr>
              <w:rPr>
                <w:rFonts w:hint="eastAsia" w:ascii="CESI仿宋-GB2312" w:hAnsi="CESI仿宋-GB2312" w:eastAsia="CESI仿宋-GB2312" w:cs="CESI仿宋-GB2312"/>
                <w:i w:val="0"/>
                <w:iCs w:val="0"/>
                <w:caps w:val="0"/>
                <w:color w:val="333333"/>
                <w:spacing w:val="0"/>
                <w:sz w:val="21"/>
                <w:szCs w:val="21"/>
              </w:rPr>
            </w:pPr>
          </w:p>
        </w:tc>
      </w:tr>
      <w:tr w14:paraId="0BB3A90B">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1A711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28</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B782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对食品贮存、运输和装卸违法行为的处罚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2BDB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82674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食品安全法》第一百三十二条“违反本法规定，未按要求进行食品贮存、运输和装卸的，由县级以上人民政府食品安全监督管理等部门按照各自职责分工责令改正，给予警告；拒不改正的，责令停产停业，并处一万元以上五万元以下罚款；情节严重的，吊销许可证。”、《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37A54D3">
            <w:pPr>
              <w:rPr>
                <w:rFonts w:hint="eastAsia" w:ascii="CESI仿宋-GB2312" w:hAnsi="CESI仿宋-GB2312" w:eastAsia="CESI仿宋-GB2312" w:cs="CESI仿宋-GB2312"/>
                <w:i w:val="0"/>
                <w:iCs w:val="0"/>
                <w:caps w:val="0"/>
                <w:color w:val="333333"/>
                <w:spacing w:val="0"/>
                <w:sz w:val="21"/>
                <w:szCs w:val="21"/>
              </w:rPr>
            </w:pPr>
          </w:p>
        </w:tc>
      </w:tr>
      <w:tr w14:paraId="06B6DAE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B0170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29</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9C1DD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对食品生产经营者未按要求公示特殊食品相关信息</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93992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30875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网络食品安全违法行为查处办法》第四十一条“违反本办法第十九条第一款规定，食品生产经营者未按要求公示特殊食品相关信息的，由县级以上地方市场监督管理部门责令改正，给予警告；拒不改正的，处5000元以上3万元以下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1B02941">
            <w:pPr>
              <w:rPr>
                <w:rFonts w:hint="eastAsia" w:ascii="CESI仿宋-GB2312" w:hAnsi="CESI仿宋-GB2312" w:eastAsia="CESI仿宋-GB2312" w:cs="CESI仿宋-GB2312"/>
                <w:i w:val="0"/>
                <w:iCs w:val="0"/>
                <w:caps w:val="0"/>
                <w:color w:val="333333"/>
                <w:spacing w:val="0"/>
                <w:sz w:val="21"/>
                <w:szCs w:val="21"/>
              </w:rPr>
            </w:pPr>
          </w:p>
        </w:tc>
      </w:tr>
      <w:tr w14:paraId="4A572F4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4D75B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30</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1121F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对食品生产经营者通过网络交易特定全营养配方食品的处罚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79E03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7128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网络食品安全违法行为查处办法》第四十一条第二款“违反本办法第十九条第二款规定，食品生产经营者通过网络销售特定全营养配方食品的，由县级以上地方市场监督管理部门处3万元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341A55C">
            <w:pPr>
              <w:rPr>
                <w:rFonts w:hint="eastAsia" w:ascii="CESI仿宋-GB2312" w:hAnsi="CESI仿宋-GB2312" w:eastAsia="CESI仿宋-GB2312" w:cs="CESI仿宋-GB2312"/>
                <w:i w:val="0"/>
                <w:iCs w:val="0"/>
                <w:caps w:val="0"/>
                <w:color w:val="333333"/>
                <w:spacing w:val="0"/>
                <w:sz w:val="21"/>
                <w:szCs w:val="21"/>
              </w:rPr>
            </w:pPr>
          </w:p>
        </w:tc>
      </w:tr>
      <w:tr w14:paraId="0D3E5F96">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66E8F6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31</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AA2DB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对从事医疗器械网络销售的企业未按照要求展示医疗器械生产经营许可证或者备案凭证、医疗器械注册证或者备案凭证的处罚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51952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9FF4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医疗器械网络销售监督管理办法》第四十条“有下列情形之一的，由县级以上地方食品药品监督管理部门责令改正，给予警告；拒不改正的，处5000元以上1万元以下罚款：（一）从事医疗器械网络销售的企业未按照本办法要求展示医疗器械生产经营许可证或者备案凭证、医疗器械注册证或者备案凭证的；” 、《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76AC8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78FEEDA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486B0E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32</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A2852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对医疗器械网络交易服务第三方平台提供者未按照要求展示医疗器械网络交易服务第三方平台备案凭证编号的处罚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3EEE6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D6DEB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医疗器械网络销售监督管理办法》第四十条“有下列情形之一的，由县级以上地方食品药品监督管理部门责令改正，给予警告；拒不改正的，处5000元以上1万元以下罚款：（二）医疗器械网络交易服务第三方平台提供者未按照本办法要求展示医疗器械网络交易服务第三方平台备案凭证编号的。”</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067A7FA">
            <w:pPr>
              <w:rPr>
                <w:rFonts w:hint="eastAsia" w:ascii="CESI仿宋-GB2312" w:hAnsi="CESI仿宋-GB2312" w:eastAsia="CESI仿宋-GB2312" w:cs="CESI仿宋-GB2312"/>
                <w:i w:val="0"/>
                <w:iCs w:val="0"/>
                <w:caps w:val="0"/>
                <w:color w:val="333333"/>
                <w:spacing w:val="0"/>
                <w:sz w:val="21"/>
                <w:szCs w:val="21"/>
              </w:rPr>
            </w:pPr>
          </w:p>
        </w:tc>
      </w:tr>
      <w:tr w14:paraId="4DDC3DA3">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C77CC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33</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5490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对医疗器械生产经营企业未按要求提供维护维修服务，或者未按要求提供维护维修所必需的材料和信息的处罚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5765F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E5C49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医疗器械使用质量监督管理办法》第三十一条“医疗器械生产经营企业违反本办法第十七条规定，未按要求提供维护维修服务，或者未按要求提供维护维修所必需的材料和信息的，由县级以上食品药品监督管理部门给予警告，责令限期改正；情节严重或者拒不改正的，处5000元以上2万元以下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F4CE578">
            <w:pPr>
              <w:rPr>
                <w:rFonts w:hint="eastAsia" w:ascii="CESI仿宋-GB2312" w:hAnsi="CESI仿宋-GB2312" w:eastAsia="CESI仿宋-GB2312" w:cs="CESI仿宋-GB2312"/>
                <w:i w:val="0"/>
                <w:iCs w:val="0"/>
                <w:caps w:val="0"/>
                <w:color w:val="333333"/>
                <w:spacing w:val="0"/>
                <w:sz w:val="21"/>
                <w:szCs w:val="21"/>
              </w:rPr>
            </w:pPr>
          </w:p>
        </w:tc>
      </w:tr>
      <w:tr w14:paraId="5E211B9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44BD0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34</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C25B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对必须使用注册商标的商品未经核准注册在市场上销售的处罚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B2539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4C8D2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标法》第六条“法律、行政法规规定必须使用注册商标的商品，必须申请商标注册，未经核准注册的，不得在市场销售。”第五十一条“违反本法第六条规定的，由地方工商行政管理部门责令限期申请注册，违法经营额五万元以上的，可以处违法经营额百分之二十以下的罚款，没有违法经营额或者违法经营额不足五万元的，可以处一万元以下的罚款。”、《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5371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1254A54E">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01472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35</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E3427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对经许可使用他人注册商标但未标明被许可人的名称和商品产地的处罚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CC73D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7F73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标法》第四十三条第二款“经许可使用他人注册商标的，必须在使用该注册商标的商品上标明被许可人的名称和商品产地。”《商标法实施条例》第七十一条“违反商标法第四十三条第二款规定的，由工商行政管理部门责令限期改正；逾期不改正的，责令停止销售，拒不停止销售的，处10万元以下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FA4FDEA">
            <w:pPr>
              <w:rPr>
                <w:rFonts w:hint="eastAsia" w:ascii="CESI仿宋-GB2312" w:hAnsi="CESI仿宋-GB2312" w:eastAsia="CESI仿宋-GB2312" w:cs="CESI仿宋-GB2312"/>
                <w:i w:val="0"/>
                <w:iCs w:val="0"/>
                <w:caps w:val="0"/>
                <w:color w:val="333333"/>
                <w:spacing w:val="0"/>
                <w:sz w:val="21"/>
                <w:szCs w:val="21"/>
              </w:rPr>
            </w:pPr>
          </w:p>
        </w:tc>
      </w:tr>
      <w:tr w14:paraId="60E2782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5D6867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36</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B47FD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对特殊标志所有人或者使用人擅自改变特殊标志文字、图形的处罚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33B1F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持续使用时间较短，具有法定从轻情节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DBC6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特殊标志管理条例》第十五条第一项“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一)擅自改变特殊标志文字、图形的”、《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9605FCC">
            <w:pPr>
              <w:rPr>
                <w:rFonts w:hint="eastAsia" w:ascii="CESI仿宋-GB2312" w:hAnsi="CESI仿宋-GB2312" w:eastAsia="CESI仿宋-GB2312" w:cs="CESI仿宋-GB2312"/>
                <w:i w:val="0"/>
                <w:iCs w:val="0"/>
                <w:caps w:val="0"/>
                <w:color w:val="333333"/>
                <w:spacing w:val="0"/>
                <w:sz w:val="21"/>
                <w:szCs w:val="21"/>
              </w:rPr>
            </w:pPr>
          </w:p>
        </w:tc>
      </w:tr>
      <w:tr w14:paraId="2017ED4A">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897BE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37</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B9814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对特殊标志所有人或者使用人许可他人使用特殊标志，未签订使用合同，或者使用人在规定期限内未备案、存查的处罚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73CD7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持续使用时间较短，具有法定从轻情节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A4286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特殊标志管理条例》第十五条第二项“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 (二)许可他人使用特殊标志，未签订使用合同，或者使用人在规定期限内未报国务院工商行政管理部门备案或者未报所在地县级以上人民政府工商行政管理机关存查的；”、《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9FBA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498F95F0">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D6A00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38</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63341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对特殊标志所有人或者使用人超出核准登记的商品或者服务范围使用的处罚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E88BD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持续使用时间较短，具有法定从轻情节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C0C64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特殊标志管理条例》第十五条第三项“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 (三)超出核准登记的商品或者服务范围使用的。”、《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1D5F771">
            <w:pPr>
              <w:rPr>
                <w:rFonts w:hint="eastAsia" w:ascii="CESI仿宋-GB2312" w:hAnsi="CESI仿宋-GB2312" w:eastAsia="CESI仿宋-GB2312" w:cs="CESI仿宋-GB2312"/>
                <w:i w:val="0"/>
                <w:iCs w:val="0"/>
                <w:caps w:val="0"/>
                <w:color w:val="333333"/>
                <w:spacing w:val="0"/>
                <w:sz w:val="21"/>
                <w:szCs w:val="21"/>
              </w:rPr>
            </w:pPr>
          </w:p>
        </w:tc>
      </w:tr>
      <w:tr w14:paraId="5C66363C">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199127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39</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1AE7C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对生产、销售国家明令淘汰的商品或者销售失效、变质的商品的处罚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C3276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有下列情形之一的：1、有证据证明该产品是初次生产；2、产品尚未销售的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C6B71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D01D472">
            <w:pPr>
              <w:rPr>
                <w:rFonts w:hint="eastAsia" w:ascii="CESI仿宋-GB2312" w:hAnsi="CESI仿宋-GB2312" w:eastAsia="CESI仿宋-GB2312" w:cs="CESI仿宋-GB2312"/>
                <w:i w:val="0"/>
                <w:iCs w:val="0"/>
                <w:caps w:val="0"/>
                <w:color w:val="333333"/>
                <w:spacing w:val="0"/>
                <w:sz w:val="21"/>
                <w:szCs w:val="21"/>
              </w:rPr>
            </w:pPr>
          </w:p>
        </w:tc>
      </w:tr>
      <w:tr w14:paraId="37FDC1F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B0631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40</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53B91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对生产、进口、销售不符合强制性能源效率标准的用能产品、设备的处罚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E9F38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违法产品、设备尚未销售的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7B5C3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节约能源法》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BE0A8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0ECABE6B">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31FDEA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41</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7A924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对用能单位未按照规定配备、使用能源计量器具的处罚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E315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逾期未整改到位，但具有法定从轻情节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A08D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《节约能源法》第七十四条“用能单位未按照规定配备、使用能源计量器具的，由市场监督管理部门责令限期改正；逾期不改正的，处一万元以上五万元以下罚款。”、《行政处罚法》第三十二条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8748885">
            <w:pPr>
              <w:rPr>
                <w:rFonts w:hint="eastAsia" w:ascii="CESI仿宋-GB2312" w:hAnsi="CESI仿宋-GB2312" w:eastAsia="CESI仿宋-GB2312" w:cs="CESI仿宋-GB2312"/>
                <w:i w:val="0"/>
                <w:iCs w:val="0"/>
                <w:caps w:val="0"/>
                <w:color w:val="333333"/>
                <w:spacing w:val="0"/>
                <w:sz w:val="21"/>
                <w:szCs w:val="21"/>
              </w:rPr>
            </w:pPr>
          </w:p>
        </w:tc>
      </w:tr>
      <w:tr w14:paraId="542EF23C">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225D51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42</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1C5F0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对指定的认证机构、检查机构、实验室超出范围从事列入目录产品的认证以及与认证有关的检查、检测活动的或者转让指定的认证业务的处罚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7A359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1EADE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认证认可条例》第六十四条“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指定的认证机构转让指定的认证业务的，依照前款规定处罚。”、《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4D6A75C">
            <w:pPr>
              <w:rPr>
                <w:rFonts w:hint="eastAsia" w:ascii="CESI仿宋-GB2312" w:hAnsi="CESI仿宋-GB2312" w:eastAsia="CESI仿宋-GB2312" w:cs="CESI仿宋-GB2312"/>
                <w:i w:val="0"/>
                <w:iCs w:val="0"/>
                <w:caps w:val="0"/>
                <w:color w:val="333333"/>
                <w:spacing w:val="0"/>
                <w:sz w:val="21"/>
                <w:szCs w:val="21"/>
              </w:rPr>
            </w:pPr>
          </w:p>
        </w:tc>
      </w:tr>
      <w:tr w14:paraId="597BD936">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F7F4F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43</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AFBDB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对列入目录的产品未经认证，擅自出厂、销售、进口或者在其他经营活动中使用的处罚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62A9C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首次生产、销售、进口；产品经抽检合格；如实提供进货渠道；其他法定从轻情节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C7CE9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认证认可条例》第六十六条“列入目录的产品未经认证，擅自出厂、销售、进口或者在其他经营活动中使用的，责令改正，处5万元以上20万元以下的罚款，有违法所得的，没收违法所得。”、《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99DDF9A">
            <w:pPr>
              <w:rPr>
                <w:rFonts w:hint="eastAsia" w:ascii="CESI仿宋-GB2312" w:hAnsi="CESI仿宋-GB2312" w:eastAsia="CESI仿宋-GB2312" w:cs="CESI仿宋-GB2312"/>
                <w:i w:val="0"/>
                <w:iCs w:val="0"/>
                <w:caps w:val="0"/>
                <w:color w:val="333333"/>
                <w:spacing w:val="0"/>
                <w:sz w:val="21"/>
                <w:szCs w:val="21"/>
              </w:rPr>
            </w:pPr>
          </w:p>
        </w:tc>
      </w:tr>
      <w:tr w14:paraId="497532AB">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1891DB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44</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4E8F7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对棉花经营者违法经营的处罚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C0C7D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具有法定从轻情节</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A61A5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棉花质量监督管理条例》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CD6B7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5F7F511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6E021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45</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D7E43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对选用未获得生产许可证的防伪技术产品生产企业生产的防伪技术产品的处罚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AFE4C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有下列情形之一的：1、违法行为属首次被查处，检查后及时停止的；2、使用违法产品时间较短、货值金额较小的。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4E8E7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产品防伪监督管理办法》第二十八条第一项“防伪技术产品的使用者有以下行为之一的，责令改正，并处1万元以上3万元以下的罚款：（一）选用未获得生产许可证的防伪技术产品生产企业生产的防伪技术产品的；”、《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5B92088E">
            <w:pPr>
              <w:rPr>
                <w:rFonts w:hint="eastAsia" w:ascii="CESI仿宋-GB2312" w:hAnsi="CESI仿宋-GB2312" w:eastAsia="CESI仿宋-GB2312" w:cs="CESI仿宋-GB2312"/>
                <w:i w:val="0"/>
                <w:iCs w:val="0"/>
                <w:caps w:val="0"/>
                <w:color w:val="333333"/>
                <w:spacing w:val="0"/>
                <w:sz w:val="21"/>
                <w:szCs w:val="21"/>
              </w:rPr>
            </w:pPr>
          </w:p>
        </w:tc>
      </w:tr>
      <w:tr w14:paraId="3F9F0F84">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05BB0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46</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E6E32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对制造、销售和进口非法定计量单位的计量器具的处罚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6BE629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有下列情形之一的：1、违法所得在 5000 元以下的；2、违法制造、销售、进口 计量器具台数为 10 台以下的。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759F8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计量法实施细则》第四十一条“违反《中华人民共和国计量法》第十四条规定，制造、销售和进口非法定计量单位的计量器具的，责令其停止制造、销售和进口，没收计量器具和全部违法所得，可并处相当其违法所得10%至50%的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F89B733">
            <w:pPr>
              <w:rPr>
                <w:rFonts w:hint="eastAsia" w:ascii="CESI仿宋-GB2312" w:hAnsi="CESI仿宋-GB2312" w:eastAsia="CESI仿宋-GB2312" w:cs="CESI仿宋-GB2312"/>
                <w:i w:val="0"/>
                <w:iCs w:val="0"/>
                <w:caps w:val="0"/>
                <w:color w:val="333333"/>
                <w:spacing w:val="0"/>
                <w:sz w:val="21"/>
                <w:szCs w:val="21"/>
              </w:rPr>
            </w:pPr>
          </w:p>
        </w:tc>
      </w:tr>
      <w:tr w14:paraId="68CE5FC5">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060542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47</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CF06E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对生产者生产定量包装商品，其实际量与标注量不相符，计量偏差超过规定的处罚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468D2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有下列情形之一的：1、无违法所得；2、违法行为未给用户消费者造成损失的。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5C10C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品量计量违法行为处罚规定》第四条“生产者生产定量包装商品，其实际量与标注量不相符，计量偏差超过《定量包装商品计量监督管理办法》或者国家其它有关规定的，市场监督管理部门责令改正，并处30000元以下罚款。”、《行政处罚法》第三十二条</w:t>
            </w:r>
          </w:p>
        </w:tc>
        <w:tc>
          <w:tcPr>
            <w:tcW w:w="1950" w:type="dxa"/>
            <w:vMerge w:val="restart"/>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0250A0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预警提示、行政约谈、行政告诫、行政回访</w:t>
            </w:r>
          </w:p>
        </w:tc>
      </w:tr>
      <w:tr w14:paraId="267817D6">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7D0C56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48</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B047E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对销售者销售的定量包装商品或者零售商品，其实际量与标注量或者实际量与贸易结算量不相符，计量偏差超过规定的处罚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DFB8A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有下列情形之一的：1、无违法所得；2、违法行为未给用户消费者造成损失的。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27B99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品量计量违法行为处罚规定》第五条“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488D5F07">
            <w:pPr>
              <w:rPr>
                <w:rFonts w:hint="eastAsia" w:ascii="CESI仿宋-GB2312" w:hAnsi="CESI仿宋-GB2312" w:eastAsia="CESI仿宋-GB2312" w:cs="CESI仿宋-GB2312"/>
                <w:i w:val="0"/>
                <w:iCs w:val="0"/>
                <w:caps w:val="0"/>
                <w:color w:val="333333"/>
                <w:spacing w:val="0"/>
                <w:sz w:val="21"/>
                <w:szCs w:val="21"/>
              </w:rPr>
            </w:pPr>
          </w:p>
        </w:tc>
      </w:tr>
      <w:tr w14:paraId="4F612339">
        <w:tblPrEx>
          <w:tblBorders>
            <w:top w:val="single" w:color="B1B1B1" w:sz="4" w:space="0"/>
            <w:left w:val="single" w:color="B1B1B1" w:sz="4" w:space="0"/>
            <w:bottom w:val="single" w:color="B1B1B1" w:sz="4" w:space="0"/>
            <w:right w:val="single" w:color="B1B1B1" w:sz="4"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2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right w:w="108" w:type="dxa"/>
            </w:tcMar>
            <w:vAlign w:val="center"/>
          </w:tcPr>
          <w:p w14:paraId="4009A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49</w:t>
            </w:r>
          </w:p>
        </w:tc>
        <w:tc>
          <w:tcPr>
            <w:tcW w:w="1924"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2B812D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对销售者销售国家对计量偏差没有规定的商品，其实际量与贸易结算量之差，超过国家规定使用的计量器具极限误差的处罚</w:t>
            </w:r>
          </w:p>
        </w:tc>
        <w:tc>
          <w:tcPr>
            <w:tcW w:w="1946"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3A794B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有下列情形之一的：1、无违法所得；2、违法行为未给用户消费者造成损失的。</w:t>
            </w:r>
          </w:p>
        </w:tc>
        <w:tc>
          <w:tcPr>
            <w:tcW w:w="7320" w:type="dxa"/>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7C29C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105" w:afterAutospacing="0" w:line="20" w:lineRule="atLeast"/>
              <w:ind w:left="0" w:right="0" w:firstLine="0"/>
              <w:jc w:val="both"/>
              <w:rPr>
                <w:rFonts w:hint="eastAsia" w:ascii="CESI仿宋-GB2312" w:hAnsi="CESI仿宋-GB2312" w:eastAsia="CESI仿宋-GB2312" w:cs="CESI仿宋-GB2312"/>
                <w:sz w:val="21"/>
                <w:szCs w:val="21"/>
              </w:rPr>
            </w:pPr>
            <w:r>
              <w:rPr>
                <w:rFonts w:hint="eastAsia" w:ascii="CESI仿宋-GB2312" w:hAnsi="CESI仿宋-GB2312" w:eastAsia="CESI仿宋-GB2312" w:cs="CESI仿宋-GB2312"/>
                <w:i w:val="0"/>
                <w:iCs w:val="0"/>
                <w:caps w:val="0"/>
                <w:color w:val="333333"/>
                <w:spacing w:val="0"/>
                <w:sz w:val="21"/>
                <w:szCs w:val="21"/>
              </w:rPr>
              <w:t>《商品量计量违法行为处罚规定》第六条“销售者销售国家对计量偏差没有规定的商品，其实际量与贸易结算量之差，超过国家规定使用的计量器具极限误差的，市场监督管理部门责令改正，并处20000元以下罚款。”、《行政处罚法》第三十二条</w:t>
            </w:r>
          </w:p>
        </w:tc>
        <w:tc>
          <w:tcPr>
            <w:tcW w:w="1950" w:type="dxa"/>
            <w:vMerge w:val="continue"/>
            <w:tcBorders>
              <w:top w:val="nil"/>
              <w:left w:val="nil"/>
              <w:bottom w:val="single" w:color="auto" w:sz="8" w:space="0"/>
              <w:right w:val="single" w:color="auto" w:sz="8" w:space="0"/>
            </w:tcBorders>
            <w:shd w:val="clear" w:color="auto" w:fill="FFFFFF"/>
            <w:tcMar>
              <w:top w:w="0" w:type="dxa"/>
              <w:left w:w="108" w:type="dxa"/>
              <w:right w:w="108" w:type="dxa"/>
            </w:tcMar>
            <w:vAlign w:val="center"/>
          </w:tcPr>
          <w:p w14:paraId="13918F38">
            <w:pPr>
              <w:rPr>
                <w:rFonts w:hint="eastAsia" w:ascii="CESI仿宋-GB2312" w:hAnsi="CESI仿宋-GB2312" w:eastAsia="CESI仿宋-GB2312" w:cs="CESI仿宋-GB2312"/>
                <w:i w:val="0"/>
                <w:iCs w:val="0"/>
                <w:caps w:val="0"/>
                <w:color w:val="333333"/>
                <w:spacing w:val="0"/>
                <w:sz w:val="21"/>
                <w:szCs w:val="21"/>
              </w:rPr>
            </w:pPr>
          </w:p>
        </w:tc>
      </w:tr>
    </w:tbl>
    <w:p w14:paraId="179CF85A">
      <w:pPr>
        <w:rPr>
          <w:sz w:val="24"/>
          <w:szCs w:val="24"/>
        </w:rPr>
      </w:pPr>
    </w:p>
    <w:sectPr>
      <w:pgSz w:w="16838" w:h="11906" w:orient="landscape"/>
      <w:pgMar w:top="1134"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OThhOTQ2YzAxZTllMWUwMDE3NWRjMGRjZGI2MjQifQ=="/>
  </w:docVars>
  <w:rsids>
    <w:rsidRoot w:val="004B6F02"/>
    <w:rsid w:val="0F6A32E0"/>
    <w:rsid w:val="250156A7"/>
    <w:rsid w:val="41880DBF"/>
    <w:rsid w:val="679E31EA"/>
    <w:rsid w:val="729716BE"/>
    <w:rsid w:val="79F37764"/>
    <w:rsid w:val="7EFD8166"/>
    <w:rsid w:val="DFBDA89F"/>
    <w:rsid w:val="E5FBD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10089</Words>
  <Characters>10188</Characters>
  <Lines>0</Lines>
  <Paragraphs>0</Paragraphs>
  <TotalTime>15</TotalTime>
  <ScaleCrop>false</ScaleCrop>
  <LinksUpToDate>false</LinksUpToDate>
  <CharactersWithSpaces>10223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2023-11-10T18:05:00Z</dcterms:created>
  <dc:creator>吴炜</dc:creator>
  <cp:lastModifiedBy>微信用户</cp:lastModifiedBy>
  <cp:lastPrinted>2024-06-11T16:26:00Z</cp:lastPrinted>
  <dcterms:modified xsi:type="dcterms:W3CDTF">2024-12-09T02:37:13Z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912E8B4253FC417782C360E119457811_11</vt:lpwstr>
  </property>
</Properties>
</file>