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10" w:line="320" w:lineRule="exact"/>
        <w:jc w:val="lef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5073B"/>
          <w:kern w:val="0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320" w:lineRule="exact"/>
        <w:jc w:val="center"/>
        <w:textAlignment w:val="auto"/>
        <w:rPr>
          <w:rFonts w:hint="eastAsia" w:ascii="方正小标宋简体" w:hAnsi="Segoe UI" w:eastAsia="方正小标宋简体" w:cs="Segoe UI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Segoe UI" w:eastAsia="方正小标宋简体" w:cs="Segoe UI"/>
          <w:color w:val="auto"/>
          <w:kern w:val="0"/>
          <w:sz w:val="44"/>
          <w:szCs w:val="44"/>
          <w:lang w:eastAsia="zh-CN"/>
        </w:rPr>
        <w:t>喀喇沁旗城市管理综合行政执法局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0" w:line="320" w:lineRule="exact"/>
        <w:jc w:val="center"/>
        <w:textAlignment w:val="auto"/>
        <w:rPr>
          <w:rFonts w:ascii="方正小标宋简体" w:hAnsi="Segoe UI" w:eastAsia="方正小标宋简体" w:cs="Segoe UI"/>
          <w:color w:val="auto"/>
          <w:kern w:val="0"/>
          <w:sz w:val="44"/>
          <w:szCs w:val="44"/>
        </w:rPr>
      </w:pPr>
      <w:r>
        <w:rPr>
          <w:rFonts w:hint="eastAsia" w:ascii="方正小标宋简体" w:hAnsi="Segoe UI" w:eastAsia="方正小标宋简体" w:cs="Segoe UI"/>
          <w:color w:val="auto"/>
          <w:kern w:val="0"/>
          <w:sz w:val="44"/>
          <w:szCs w:val="44"/>
        </w:rPr>
        <w:t>不予（免予）行政处罚事项清单</w:t>
      </w:r>
    </w:p>
    <w:p>
      <w:pPr>
        <w:widowControl/>
        <w:spacing w:before="210" w:line="400" w:lineRule="exact"/>
        <w:jc w:val="left"/>
        <w:rPr>
          <w:rFonts w:hint="default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>填报单位：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eastAsia="zh-CN"/>
        </w:rPr>
        <w:t>喀喇沁旗城市管理综合行政执法局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 xml:space="preserve">                                  填报日期：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  <w:t>2024年7月10日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96"/>
        <w:gridCol w:w="2064"/>
        <w:gridCol w:w="5328"/>
        <w:gridCol w:w="1428"/>
        <w:gridCol w:w="1516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违法行为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不予（免予）行政处罚条件</w:t>
            </w:r>
          </w:p>
        </w:tc>
        <w:tc>
          <w:tcPr>
            <w:tcW w:w="53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法律依据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配套监管措施</w:t>
            </w: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实施主体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tabs>
                <w:tab w:val="left" w:pos="484"/>
              </w:tabs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对生活垃圾分类投放管理责任人未履行责任的处罚。</w:t>
            </w:r>
          </w:p>
        </w:tc>
        <w:tc>
          <w:tcPr>
            <w:tcW w:w="2064" w:type="dxa"/>
            <w:vAlign w:val="center"/>
          </w:tcPr>
          <w:p>
            <w:pPr>
              <w:widowControl/>
              <w:tabs>
                <w:tab w:val="left" w:pos="280"/>
              </w:tabs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初次违法，及时改正，未造成危害后果的。</w:t>
            </w:r>
          </w:p>
        </w:tc>
        <w:tc>
          <w:tcPr>
            <w:tcW w:w="5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1.《中华人民共和国行政处罚法》（2021年修订）第三十三条　违法行为轻微并及时改正，没有造成危害后果的，不予行政处罚。初次违法且危害后果轻微并及时改正的，可以不予行政处罚。当事人有证据足以证明没有主观过错的，不予行政处罚。法律、行政法规另有规定的，从其规定。对当事人的违法行为依法不予行政处罚的，行政机关应当对当事人进行教育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2.《内蒙古自治区城乡生活垃圾管理条例》（内蒙古自治区第十三届人民代表大会常务委员会公告第六十七号） 第四十七条 违反本条例第二十五条规定，生活垃圾分类投放管理责任人未履行责任的，由旗县级以上人民政府生活垃圾管理部门责令改正，可以处500元以上5000元以下的罚款；情节严重的，处5000元以上3万元以下的罚款。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说服教育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喀喇沁旗城市管理综合行政执法局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  <w:t>……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Segoe UI" w:eastAsia="仿宋_GB2312" w:cs="Segoe UI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210" w:line="400" w:lineRule="exact"/>
        <w:jc w:val="left"/>
        <w:rPr>
          <w:rFonts w:hint="default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>联系人：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eastAsia="zh-CN"/>
        </w:rPr>
        <w:t>李守强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</w:rPr>
        <w:t xml:space="preserve">                               联系电话：</w:t>
      </w:r>
      <w:r>
        <w:rPr>
          <w:rFonts w:hint="eastAsia" w:ascii="仿宋_GB2312" w:hAnsi="Segoe UI" w:eastAsia="仿宋_GB2312" w:cs="Segoe UI"/>
          <w:color w:val="auto"/>
          <w:kern w:val="0"/>
          <w:sz w:val="28"/>
          <w:szCs w:val="28"/>
          <w:lang w:val="en-US" w:eastAsia="zh-CN"/>
        </w:rPr>
        <w:t>0476-3773327</w:t>
      </w:r>
    </w:p>
    <w:p>
      <w:pPr>
        <w:widowControl/>
        <w:spacing w:line="444" w:lineRule="atLeast"/>
        <w:ind w:firstLine="516"/>
        <w:rPr>
          <w:rFonts w:ascii="仿宋_GB2312" w:hAnsi="微软雅黑" w:eastAsia="仿宋_GB2312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ascii="仿宋_GB2312" w:hAnsi="楷体" w:eastAsia="仿宋_GB2312" w:cs="宋体"/>
          <w:kern w:val="0"/>
          <w:sz w:val="24"/>
          <w:szCs w:val="24"/>
        </w:rPr>
        <w:t>配套监管措施主要是说服教育、劝导示范、警示告诫</w:t>
      </w:r>
      <w:r>
        <w:rPr>
          <w:rFonts w:hint="eastAsia" w:ascii="仿宋_GB2312" w:hAnsi="楷体" w:eastAsia="仿宋_GB2312" w:cs="宋体"/>
          <w:kern w:val="0"/>
          <w:sz w:val="24"/>
          <w:szCs w:val="24"/>
        </w:rPr>
        <w:t>、</w:t>
      </w:r>
      <w:r>
        <w:rPr>
          <w:rFonts w:ascii="仿宋_GB2312" w:hAnsi="楷体" w:eastAsia="仿宋_GB2312" w:cs="宋体"/>
          <w:kern w:val="0"/>
          <w:sz w:val="24"/>
          <w:szCs w:val="24"/>
        </w:rPr>
        <w:t>预警提示</w:t>
      </w:r>
      <w:r>
        <w:rPr>
          <w:rFonts w:hint="eastAsia" w:ascii="仿宋_GB2312" w:hAnsi="楷体" w:eastAsia="仿宋_GB2312" w:cs="宋体"/>
          <w:kern w:val="0"/>
          <w:sz w:val="24"/>
          <w:szCs w:val="24"/>
        </w:rPr>
        <w:t>、</w:t>
      </w:r>
      <w:r>
        <w:rPr>
          <w:rFonts w:ascii="仿宋_GB2312" w:hAnsi="楷体" w:eastAsia="仿宋_GB2312" w:cs="宋体"/>
          <w:kern w:val="0"/>
          <w:sz w:val="24"/>
          <w:szCs w:val="24"/>
        </w:rPr>
        <w:t>告知承诺</w:t>
      </w:r>
      <w:r>
        <w:rPr>
          <w:rFonts w:hint="eastAsia" w:ascii="仿宋_GB2312" w:hAnsi="楷体" w:eastAsia="仿宋_GB2312" w:cs="宋体"/>
          <w:kern w:val="0"/>
          <w:sz w:val="24"/>
          <w:szCs w:val="24"/>
        </w:rPr>
        <w:t>、</w:t>
      </w:r>
      <w:r>
        <w:rPr>
          <w:rFonts w:ascii="仿宋_GB2312" w:hAnsi="楷体" w:eastAsia="仿宋_GB2312" w:cs="宋体"/>
          <w:kern w:val="0"/>
          <w:sz w:val="24"/>
          <w:szCs w:val="24"/>
        </w:rPr>
        <w:t>社会服务折抵罚款</w:t>
      </w:r>
      <w:r>
        <w:rPr>
          <w:rFonts w:hint="eastAsia" w:ascii="仿宋_GB2312" w:hAnsi="楷体" w:eastAsia="仿宋_GB2312" w:cs="宋体"/>
          <w:kern w:val="0"/>
          <w:sz w:val="24"/>
          <w:szCs w:val="24"/>
        </w:rPr>
        <w:t>、</w:t>
      </w:r>
      <w:r>
        <w:rPr>
          <w:rFonts w:ascii="仿宋_GB2312" w:hAnsi="楷体" w:eastAsia="仿宋_GB2312" w:cs="宋体"/>
          <w:kern w:val="0"/>
          <w:sz w:val="24"/>
          <w:szCs w:val="24"/>
        </w:rPr>
        <w:t>“观察期”等方式。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MTU5OTk3ODg0YTgzN2RhYzZkMDc5NDcxY2Q1YjYifQ=="/>
  </w:docVars>
  <w:rsids>
    <w:rsidRoot w:val="1AA81431"/>
    <w:rsid w:val="00EF7950"/>
    <w:rsid w:val="02410942"/>
    <w:rsid w:val="196D3AEA"/>
    <w:rsid w:val="1AA81431"/>
    <w:rsid w:val="56D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563</Characters>
  <Lines>0</Lines>
  <Paragraphs>0</Paragraphs>
  <TotalTime>15</TotalTime>
  <ScaleCrop>false</ScaleCrop>
  <LinksUpToDate>false</LinksUpToDate>
  <CharactersWithSpaces>633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2024-07-01T02:33:00Z</dcterms:created>
  <dc:creator>今生缘</dc:creator>
  <cp:lastModifiedBy>今生缘</cp:lastModifiedBy>
  <dcterms:modified xsi:type="dcterms:W3CDTF">2024-07-09T02:59:00Z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D6F2D8E76081415E94A5AEBE993FDA9D_11</vt:lpwstr>
  </property>
</Properties>
</file>