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20891" w:type="dxa"/>
        <w:tblInd w:w="0" w:type="dxa"/>
        <w:tblLayout w:type="fixed"/>
        <w:tblCellMar>
          <w:top w:w="0" w:type="dxa"/>
          <w:left w:w="0" w:type="dxa"/>
          <w:bottom w:w="0" w:type="dxa"/>
          <w:right w:w="0" w:type="dxa"/>
        </w:tblCellMar>
      </w:tblPr>
      <w:tblGrid>
        <w:gridCol w:w="523"/>
        <w:gridCol w:w="2030"/>
        <w:gridCol w:w="3945"/>
        <w:gridCol w:w="9908"/>
        <w:gridCol w:w="2550"/>
        <w:gridCol w:w="1935"/>
      </w:tblGrid>
      <w:tr>
        <w:tblPrEx>
          <w:tblCellMar>
            <w:top w:w="0" w:type="dxa"/>
            <w:left w:w="0" w:type="dxa"/>
            <w:bottom w:w="0" w:type="dxa"/>
            <w:right w:w="0" w:type="dxa"/>
          </w:tblCellMar>
        </w:tblPrEx>
        <w:trPr>
          <w:trHeight w:val="1000" w:hRule="atLeast"/>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80" w:lineRule="atLeast"/>
              <w:jc w:val="center"/>
              <w:rPr>
                <w:rFonts w:ascii="宋体" w:hAnsi="宋体" w:eastAsia="宋体" w:cs="宋体"/>
                <w:color w:val="000000"/>
                <w:sz w:val="24"/>
                <w:szCs w:val="24"/>
              </w:rPr>
            </w:pPr>
            <w:r>
              <w:rPr>
                <w:rFonts w:hint="eastAsia" w:ascii="宋体" w:hAnsi="宋体" w:eastAsia="宋体" w:cs="宋体"/>
                <w:color w:val="000000"/>
                <w:sz w:val="24"/>
                <w:szCs w:val="24"/>
              </w:rPr>
              <w:t>序号</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80" w:lineRule="atLeast"/>
              <w:jc w:val="center"/>
              <w:rPr>
                <w:rFonts w:ascii="黑体" w:hAnsi="黑体" w:eastAsia="黑体" w:cs="宋体"/>
                <w:color w:val="000000"/>
                <w:sz w:val="24"/>
                <w:szCs w:val="24"/>
              </w:rPr>
            </w:pPr>
            <w:r>
              <w:rPr>
                <w:rFonts w:hint="eastAsia" w:ascii="黑体" w:hAnsi="黑体" w:eastAsia="黑体" w:cs="宋体"/>
                <w:color w:val="000000"/>
                <w:sz w:val="24"/>
                <w:szCs w:val="24"/>
              </w:rPr>
              <w:t>违法行为</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80" w:lineRule="atLeast"/>
              <w:jc w:val="center"/>
              <w:rPr>
                <w:rFonts w:ascii="黑体" w:hAnsi="黑体" w:eastAsia="黑体" w:cs="宋体"/>
                <w:color w:val="000000"/>
                <w:sz w:val="24"/>
                <w:szCs w:val="24"/>
              </w:rPr>
            </w:pPr>
            <w:r>
              <w:rPr>
                <w:rFonts w:hint="eastAsia" w:ascii="黑体" w:hAnsi="黑体" w:eastAsia="黑体" w:cs="宋体"/>
                <w:color w:val="000000"/>
                <w:sz w:val="24"/>
                <w:szCs w:val="24"/>
              </w:rPr>
              <w:t>不予处罚条件</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80" w:lineRule="atLeast"/>
              <w:jc w:val="center"/>
              <w:rPr>
                <w:rFonts w:ascii="黑体" w:hAnsi="黑体" w:eastAsia="黑体" w:cs="宋体"/>
                <w:color w:val="000000"/>
                <w:sz w:val="24"/>
                <w:szCs w:val="24"/>
              </w:rPr>
            </w:pPr>
            <w:r>
              <w:rPr>
                <w:rFonts w:hint="eastAsia" w:ascii="黑体" w:hAnsi="黑体" w:eastAsia="黑体" w:cs="宋体"/>
                <w:color w:val="000000"/>
                <w:sz w:val="24"/>
                <w:szCs w:val="24"/>
              </w:rPr>
              <w:t>法律依据</w:t>
            </w:r>
            <w:bookmarkStart w:id="0" w:name="_GoBack"/>
            <w:bookmarkEnd w:id="0"/>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80" w:lineRule="atLeast"/>
              <w:jc w:val="center"/>
              <w:rPr>
                <w:rFonts w:ascii="黑体" w:hAnsi="黑体" w:eastAsia="黑体" w:cs="宋体"/>
                <w:color w:val="000000"/>
                <w:sz w:val="24"/>
                <w:szCs w:val="24"/>
              </w:rPr>
            </w:pPr>
            <w:r>
              <w:rPr>
                <w:rFonts w:hint="eastAsia" w:ascii="黑体" w:hAnsi="黑体" w:eastAsia="黑体" w:cs="宋体"/>
                <w:color w:val="000000"/>
                <w:sz w:val="24"/>
                <w:szCs w:val="24"/>
              </w:rPr>
              <w:t>实施主体（执法部门）</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80" w:lineRule="atLeast"/>
              <w:jc w:val="center"/>
              <w:rPr>
                <w:rFonts w:ascii="黑体" w:hAnsi="黑体" w:eastAsia="黑体" w:cs="宋体"/>
                <w:color w:val="000000"/>
                <w:sz w:val="24"/>
                <w:szCs w:val="24"/>
              </w:rPr>
            </w:pPr>
            <w:r>
              <w:rPr>
                <w:rFonts w:hint="eastAsia" w:ascii="黑体" w:hAnsi="黑体" w:eastAsia="黑体" w:cs="宋体"/>
                <w:color w:val="000000"/>
                <w:sz w:val="24"/>
                <w:szCs w:val="24"/>
              </w:rPr>
              <w:t>责任主体（执法相对人）</w:t>
            </w:r>
          </w:p>
        </w:tc>
      </w:tr>
      <w:tr>
        <w:tblPrEx>
          <w:tblCellMar>
            <w:top w:w="0" w:type="dxa"/>
            <w:left w:w="0" w:type="dxa"/>
            <w:bottom w:w="0" w:type="dxa"/>
            <w:right w:w="0" w:type="dxa"/>
          </w:tblCellMar>
        </w:tblPrEx>
        <w:trPr>
          <w:trHeight w:val="298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1</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对生活垃圾分类投放管理责任人未履行责任的处罚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2.《内蒙古自治区城乡生活垃圾管理条例》（内蒙古自治区第十三届人民代表大会常务委员会公告第六十七号） 第四十七条 违反本条例第二十五条规定，生活垃圾分类投放管理责任人未履行责任的，由旗县级以上人民政府生活垃圾管理部门责令改正，可以处500元以上5000元以下的罚款；情节严重的，处5000元以上3万元以下的罚款。</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生活垃圾分类投放管理责任人</w:t>
            </w:r>
          </w:p>
        </w:tc>
      </w:tr>
      <w:tr>
        <w:tblPrEx>
          <w:tblCellMar>
            <w:top w:w="0" w:type="dxa"/>
            <w:left w:w="0" w:type="dxa"/>
            <w:bottom w:w="0" w:type="dxa"/>
            <w:right w:w="0" w:type="dxa"/>
          </w:tblCellMar>
        </w:tblPrEx>
        <w:trPr>
          <w:trHeight w:val="308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2</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对在临街建（构）筑物外墙面新开门窗，或者改变原有门窗位置和大小的处罚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初次违法，及时改正，恢复原状，未造成危害后果的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临街商户或者住户</w:t>
            </w:r>
          </w:p>
        </w:tc>
      </w:tr>
      <w:tr>
        <w:tblPrEx>
          <w:tblCellMar>
            <w:top w:w="0" w:type="dxa"/>
            <w:left w:w="0" w:type="dxa"/>
            <w:bottom w:w="0" w:type="dxa"/>
            <w:right w:w="0" w:type="dxa"/>
          </w:tblCellMar>
        </w:tblPrEx>
        <w:trPr>
          <w:trHeight w:val="816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3</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随地吐痰、便溺、乱扔果皮、纸屑和烟头等废弃物的；在城市人民政府规定的街道的临街建筑物的阳台和窗外，堆放、吊挂有碍市容的物品的；不按规定的时间、地点、方式，倾倒垃圾、粪便的；不履行卫生责任区清扫保洁义务或者不按规定清运、处理垃圾和粪便的</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360" w:lineRule="atLeast"/>
              <w:rPr>
                <w:rFonts w:hint="eastAsia" w:ascii="仿宋_GB2312" w:hAnsi="微软雅黑" w:eastAsia="仿宋_GB2312" w:cs="宋体"/>
                <w:color w:val="000000"/>
                <w:sz w:val="18"/>
                <w:szCs w:val="18"/>
                <w:lang w:eastAsia="zh-CN"/>
              </w:rPr>
            </w:pPr>
            <w:r>
              <w:rPr>
                <w:rFonts w:hint="eastAsia" w:ascii="仿宋_GB2312" w:hAnsi="微软雅黑" w:eastAsia="仿宋_GB2312" w:cs="宋体"/>
                <w:color w:val="000000"/>
                <w:sz w:val="18"/>
                <w:szCs w:val="18"/>
              </w:rPr>
              <w:t> 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360" w:lineRule="atLeast"/>
              <w:rPr>
                <w:rFonts w:hint="eastAsia" w:ascii="仿宋_GB2312" w:hAnsi="微软雅黑" w:eastAsia="仿宋_GB2312" w:cs="宋体"/>
                <w:color w:val="000000"/>
                <w:sz w:val="18"/>
                <w:szCs w:val="18"/>
                <w:lang w:eastAsia="zh-CN"/>
              </w:rPr>
            </w:pPr>
            <w:r>
              <w:rPr>
                <w:rFonts w:hint="eastAsia" w:ascii="仿宋_GB2312" w:hAnsi="微软雅黑" w:eastAsia="仿宋_GB2312" w:cs="宋体"/>
                <w:color w:val="000000"/>
                <w:sz w:val="18"/>
                <w:szCs w:val="18"/>
              </w:rPr>
              <w:t>当事人有证据足以证明没有主观过错的，不予行政处罚。法律、行政法规另有规定的，从其规定。</w:t>
            </w:r>
          </w:p>
          <w:p>
            <w:pPr>
              <w:adjustRightInd/>
              <w:snapToGrid/>
              <w:spacing w:after="0" w:line="360" w:lineRule="atLeast"/>
              <w:rPr>
                <w:rFonts w:hint="eastAsia" w:ascii="仿宋_GB2312" w:hAnsi="微软雅黑" w:eastAsia="仿宋_GB2312" w:cs="宋体"/>
                <w:color w:val="000000"/>
                <w:sz w:val="18"/>
                <w:szCs w:val="18"/>
                <w:lang w:eastAsia="zh-CN"/>
              </w:rPr>
            </w:pPr>
            <w:r>
              <w:rPr>
                <w:rFonts w:hint="eastAsia" w:ascii="仿宋_GB2312" w:hAnsi="微软雅黑" w:eastAsia="仿宋_GB2312" w:cs="宋体"/>
                <w:color w:val="000000"/>
                <w:sz w:val="18"/>
                <w:szCs w:val="18"/>
              </w:rPr>
              <w:t>对当事人的违法行为依法不予行政处罚的，行政机关应当对当事人进行教育。</w:t>
            </w:r>
          </w:p>
          <w:p>
            <w:pPr>
              <w:adjustRightInd/>
              <w:snapToGrid/>
              <w:spacing w:after="0" w:line="360" w:lineRule="atLeast"/>
              <w:rPr>
                <w:rFonts w:hint="eastAsia" w:ascii="微软雅黑" w:hAnsi="微软雅黑" w:eastAsia="微软雅黑" w:cs="宋体"/>
                <w:color w:val="333333"/>
                <w:sz w:val="18"/>
                <w:lang w:eastAsia="zh-CN"/>
              </w:rPr>
            </w:pPr>
            <w:r>
              <w:rPr>
                <w:rFonts w:hint="eastAsia" w:ascii="仿宋_GB2312" w:hAnsi="微软雅黑" w:eastAsia="仿宋_GB2312" w:cs="宋体"/>
                <w:color w:val="000000"/>
                <w:sz w:val="18"/>
                <w:szCs w:val="18"/>
              </w:rPr>
              <w:t> 2.《城市市容和环境卫生管理条例》（现行版本根据2017年3月1日国务院令第676号发布的《国务院关于修改和废止部分行政法规的决定》修正）第三十四条</w:t>
            </w:r>
            <w:r>
              <w:rPr>
                <w:rFonts w:ascii="Nimbus Roman No9 L" w:hAnsi="Nimbus Roman No9 L" w:eastAsia="仿宋_GB2312" w:cs="宋体"/>
                <w:color w:val="333333"/>
                <w:sz w:val="18"/>
              </w:rPr>
              <w:t>  </w:t>
            </w:r>
            <w:r>
              <w:rPr>
                <w:rFonts w:hint="eastAsia" w:ascii="微软雅黑" w:hAnsi="微软雅黑" w:cs="宋体"/>
                <w:color w:val="333333"/>
                <w:sz w:val="18"/>
              </w:rPr>
              <w:t>有下列行为这一者，城市人民政府市容环境卫生行政主管部门或者其委托的单位除责令其纠正违法行为、采取补救措施外，可以并处警告、罚款：</w:t>
            </w:r>
          </w:p>
          <w:p>
            <w:pPr>
              <w:adjustRightInd/>
              <w:snapToGrid/>
              <w:spacing w:after="0" w:line="360" w:lineRule="atLeast"/>
              <w:rPr>
                <w:rFonts w:hint="eastAsia" w:ascii="微软雅黑" w:hAnsi="微软雅黑" w:eastAsia="微软雅黑" w:cs="宋体"/>
                <w:color w:val="333333"/>
                <w:sz w:val="18"/>
                <w:lang w:eastAsia="zh-CN"/>
              </w:rPr>
            </w:pPr>
            <w:r>
              <w:rPr>
                <w:rFonts w:hint="eastAsia" w:ascii="微软雅黑" w:hAnsi="微软雅黑" w:cs="宋体"/>
                <w:color w:val="333333"/>
                <w:sz w:val="18"/>
              </w:rPr>
              <w:t>    （一）随地吐痰、便溺、乱扔果皮、纸屑和烟头等废弃物的；</w:t>
            </w:r>
          </w:p>
          <w:p>
            <w:pPr>
              <w:adjustRightInd/>
              <w:snapToGrid/>
              <w:spacing w:after="0" w:line="360" w:lineRule="atLeast"/>
              <w:rPr>
                <w:rFonts w:hint="eastAsia" w:ascii="微软雅黑" w:hAnsi="微软雅黑" w:eastAsia="微软雅黑" w:cs="宋体"/>
                <w:color w:val="333333"/>
                <w:sz w:val="18"/>
                <w:lang w:eastAsia="zh-CN"/>
              </w:rPr>
            </w:pPr>
            <w:r>
              <w:rPr>
                <w:rFonts w:hint="eastAsia" w:ascii="微软雅黑" w:hAnsi="微软雅黑" w:cs="宋体"/>
                <w:color w:val="333333"/>
                <w:sz w:val="18"/>
              </w:rPr>
              <w:t>    （二）在城市建筑物、设施以及树木上涂写、刻画或者未经批准张挂、张贴宣传品等的；</w:t>
            </w:r>
          </w:p>
          <w:p>
            <w:pPr>
              <w:adjustRightInd/>
              <w:snapToGrid/>
              <w:spacing w:after="0" w:line="360" w:lineRule="atLeast"/>
              <w:rPr>
                <w:rFonts w:hint="eastAsia" w:ascii="微软雅黑" w:hAnsi="微软雅黑" w:eastAsia="微软雅黑" w:cs="宋体"/>
                <w:color w:val="333333"/>
                <w:sz w:val="18"/>
                <w:lang w:eastAsia="zh-CN"/>
              </w:rPr>
            </w:pPr>
            <w:r>
              <w:rPr>
                <w:rFonts w:hint="eastAsia" w:ascii="微软雅黑" w:hAnsi="微软雅黑" w:cs="宋体"/>
                <w:color w:val="333333"/>
                <w:sz w:val="18"/>
              </w:rPr>
              <w:t>    （三）在城市人民政府规定的街道的临街建筑物的阳台和窗外，堆放、吊挂有碍市容的物品的；</w:t>
            </w:r>
          </w:p>
          <w:p>
            <w:pPr>
              <w:adjustRightInd/>
              <w:snapToGrid/>
              <w:spacing w:after="0" w:line="360" w:lineRule="atLeast"/>
              <w:rPr>
                <w:rFonts w:hint="eastAsia" w:ascii="微软雅黑" w:hAnsi="微软雅黑" w:eastAsia="微软雅黑" w:cs="宋体"/>
                <w:color w:val="333333"/>
                <w:sz w:val="18"/>
                <w:lang w:eastAsia="zh-CN"/>
              </w:rPr>
            </w:pPr>
            <w:r>
              <w:rPr>
                <w:rFonts w:hint="eastAsia" w:ascii="微软雅黑" w:hAnsi="微软雅黑" w:cs="宋体"/>
                <w:color w:val="333333"/>
                <w:sz w:val="18"/>
              </w:rPr>
              <w:t>    （四）不按规定的时间、地点、方式，倾倒垃圾、粪便的；</w:t>
            </w:r>
          </w:p>
          <w:p>
            <w:pPr>
              <w:adjustRightInd/>
              <w:snapToGrid/>
              <w:spacing w:after="0" w:line="360" w:lineRule="atLeast"/>
              <w:rPr>
                <w:rFonts w:hint="eastAsia" w:ascii="微软雅黑" w:hAnsi="微软雅黑" w:eastAsia="微软雅黑" w:cs="宋体"/>
                <w:color w:val="333333"/>
                <w:sz w:val="18"/>
                <w:lang w:eastAsia="zh-CN"/>
              </w:rPr>
            </w:pPr>
            <w:r>
              <w:rPr>
                <w:rFonts w:hint="eastAsia" w:ascii="微软雅黑" w:hAnsi="微软雅黑" w:cs="宋体"/>
                <w:color w:val="333333"/>
                <w:sz w:val="18"/>
              </w:rPr>
              <w:t>    （五）不履行卫生责任区清扫保洁义务或者不按规定清运、处理垃圾和粪便的；</w:t>
            </w:r>
          </w:p>
          <w:p>
            <w:pPr>
              <w:adjustRightInd/>
              <w:snapToGrid/>
              <w:spacing w:after="0" w:line="360" w:lineRule="atLeast"/>
              <w:rPr>
                <w:rFonts w:hint="eastAsia" w:ascii="微软雅黑" w:hAnsi="微软雅黑" w:eastAsia="微软雅黑" w:cs="宋体"/>
                <w:color w:val="333333"/>
                <w:sz w:val="18"/>
                <w:lang w:eastAsia="zh-CN"/>
              </w:rPr>
            </w:pPr>
            <w:r>
              <w:rPr>
                <w:rFonts w:hint="eastAsia" w:ascii="微软雅黑" w:hAnsi="微软雅黑" w:cs="宋体"/>
                <w:color w:val="333333"/>
                <w:sz w:val="18"/>
              </w:rPr>
              <w:t>    （六）运输液体、散装货物不作密封、包扎、覆盖，造成泄漏、遗撒的；</w:t>
            </w:r>
          </w:p>
          <w:p>
            <w:pPr>
              <w:adjustRightInd/>
              <w:snapToGrid/>
              <w:spacing w:after="0" w:line="360" w:lineRule="atLeast"/>
              <w:rPr>
                <w:rFonts w:hint="eastAsia" w:ascii="微软雅黑" w:hAnsi="微软雅黑" w:eastAsia="微软雅黑" w:cs="宋体"/>
                <w:color w:val="333333"/>
                <w:sz w:val="18"/>
                <w:lang w:eastAsia="zh-CN"/>
              </w:rPr>
            </w:pPr>
            <w:r>
              <w:rPr>
                <w:rFonts w:hint="eastAsia" w:ascii="微软雅黑" w:hAnsi="微软雅黑" w:cs="宋体"/>
                <w:color w:val="333333"/>
                <w:sz w:val="18"/>
              </w:rPr>
              <w:t>    （七）临街工地不设置护栏或者不作遮挡、停工场地不及时整理并作必要覆盖或者竣工后不及时清理和平整场地，影响市容和环境卫生的。</w:t>
            </w:r>
          </w:p>
          <w:p>
            <w:pPr>
              <w:adjustRightInd/>
              <w:snapToGrid/>
              <w:spacing w:after="0" w:line="360" w:lineRule="atLeast"/>
              <w:rPr>
                <w:rFonts w:hint="eastAsia" w:ascii="微软雅黑" w:hAnsi="微软雅黑" w:eastAsia="微软雅黑" w:cs="宋体"/>
                <w:color w:val="333333"/>
                <w:sz w:val="18"/>
                <w:lang w:eastAsia="zh-CN"/>
              </w:rPr>
            </w:pPr>
            <w:r>
              <w:rPr>
                <w:rFonts w:hint="eastAsia" w:ascii="微软雅黑" w:hAnsi="微软雅黑" w:cs="宋体"/>
                <w:color w:val="333333"/>
                <w:sz w:val="18"/>
              </w:rPr>
              <w:t> 3.《内蒙古自治区城市市容和环境卫生违法行为处罚规定》第三条</w:t>
            </w:r>
            <w:r>
              <w:rPr>
                <w:rFonts w:ascii="Nimbus Roman No9 L" w:hAnsi="Nimbus Roman No9 L" w:eastAsia="仿宋_GB2312" w:cs="宋体"/>
                <w:color w:val="333333"/>
                <w:sz w:val="18"/>
              </w:rPr>
              <w:t>  </w:t>
            </w:r>
            <w:r>
              <w:rPr>
                <w:rFonts w:hint="eastAsia" w:ascii="微软雅黑" w:hAnsi="微软雅黑" w:cs="宋体"/>
                <w:color w:val="333333"/>
                <w:sz w:val="18"/>
              </w:rPr>
              <w:t>违反国务院《城市市容和环境卫生管理条例》，有下列行为之一者，城市人民政府市容环境卫生行政主管部门或者其委托的组织除责令其纠正违法行为、采取补救措施，可以给予下列行政处罚：</w:t>
            </w:r>
          </w:p>
          <w:p>
            <w:pPr>
              <w:adjustRightInd/>
              <w:snapToGrid/>
              <w:spacing w:after="0" w:line="360" w:lineRule="atLeast"/>
              <w:rPr>
                <w:rFonts w:hint="eastAsia" w:ascii="微软雅黑" w:hAnsi="微软雅黑" w:eastAsia="微软雅黑" w:cs="宋体"/>
                <w:color w:val="333333"/>
                <w:sz w:val="18"/>
                <w:lang w:eastAsia="zh-CN"/>
              </w:rPr>
            </w:pPr>
            <w:r>
              <w:rPr>
                <w:rFonts w:ascii="Nimbus Roman No9 L" w:hAnsi="Nimbus Roman No9 L" w:eastAsia="仿宋_GB2312" w:cs="宋体"/>
                <w:color w:val="333333"/>
                <w:sz w:val="18"/>
              </w:rPr>
              <w:t> </w:t>
            </w:r>
            <w:r>
              <w:rPr>
                <w:rFonts w:hint="eastAsia" w:ascii="微软雅黑" w:hAnsi="微软雅黑" w:cs="宋体"/>
                <w:color w:val="333333"/>
                <w:sz w:val="18"/>
              </w:rPr>
              <w:t>  （一）随地吐痰、便溺，乱扔果皮、纸屑和烟头等废弃物的，处10元罚款；</w:t>
            </w:r>
          </w:p>
          <w:p>
            <w:pPr>
              <w:adjustRightInd/>
              <w:snapToGrid/>
              <w:spacing w:after="0" w:line="360" w:lineRule="atLeast"/>
              <w:rPr>
                <w:rFonts w:hint="eastAsia" w:ascii="微软雅黑" w:hAnsi="微软雅黑" w:eastAsia="微软雅黑" w:cs="宋体"/>
                <w:color w:val="333333"/>
                <w:sz w:val="18"/>
                <w:lang w:eastAsia="zh-CN"/>
              </w:rPr>
            </w:pPr>
            <w:r>
              <w:rPr>
                <w:rFonts w:ascii="Nimbus Roman No9 L" w:hAnsi="Nimbus Roman No9 L" w:eastAsia="仿宋_GB2312" w:cs="宋体"/>
                <w:color w:val="333333"/>
                <w:sz w:val="18"/>
              </w:rPr>
              <w:t> </w:t>
            </w:r>
            <w:r>
              <w:rPr>
                <w:rFonts w:hint="eastAsia" w:ascii="微软雅黑" w:hAnsi="微软雅黑" w:cs="宋体"/>
                <w:color w:val="333333"/>
                <w:sz w:val="18"/>
              </w:rPr>
              <w:t>  （二）在城市建筑物、设施以及树木上涂写、刻画或者未经批准张挂、张贴宣传品等的，处200元以上1000元以下罚款；</w:t>
            </w:r>
          </w:p>
          <w:p>
            <w:pPr>
              <w:adjustRightInd/>
              <w:snapToGrid/>
              <w:spacing w:after="0" w:line="360" w:lineRule="atLeast"/>
              <w:rPr>
                <w:rFonts w:hint="eastAsia" w:ascii="微软雅黑" w:hAnsi="微软雅黑" w:eastAsia="微软雅黑" w:cs="宋体"/>
                <w:color w:val="333333"/>
                <w:sz w:val="18"/>
                <w:lang w:eastAsia="zh-CN"/>
              </w:rPr>
            </w:pPr>
            <w:r>
              <w:rPr>
                <w:rFonts w:hint="eastAsia" w:ascii="微软雅黑" w:hAnsi="微软雅黑" w:cs="宋体"/>
                <w:color w:val="333333"/>
                <w:sz w:val="18"/>
              </w:rPr>
              <w:t>  </w:t>
            </w:r>
            <w:r>
              <w:rPr>
                <w:rFonts w:ascii="Nimbus Roman No9 L" w:hAnsi="Nimbus Roman No9 L" w:eastAsia="仿宋_GB2312" w:cs="宋体"/>
                <w:color w:val="333333"/>
                <w:sz w:val="18"/>
              </w:rPr>
              <w:t> </w:t>
            </w:r>
            <w:r>
              <w:rPr>
                <w:rFonts w:hint="eastAsia" w:ascii="微软雅黑" w:hAnsi="微软雅黑" w:cs="宋体"/>
                <w:color w:val="333333"/>
                <w:sz w:val="18"/>
              </w:rPr>
              <w:t>（三）在城市人民政府规定的街道的临街建筑物的阳台和窗外，堆放、吊挂有碍市容物品的，给予警告，可并处50元以上500元以下罚款；</w:t>
            </w:r>
          </w:p>
          <w:p>
            <w:pPr>
              <w:adjustRightInd/>
              <w:snapToGrid/>
              <w:spacing w:after="0" w:line="360" w:lineRule="atLeast"/>
              <w:rPr>
                <w:rFonts w:hint="eastAsia" w:ascii="微软雅黑" w:hAnsi="微软雅黑" w:eastAsia="微软雅黑" w:cs="宋体"/>
                <w:color w:val="333333"/>
                <w:sz w:val="18"/>
                <w:lang w:eastAsia="zh-CN"/>
              </w:rPr>
            </w:pPr>
            <w:r>
              <w:rPr>
                <w:rFonts w:ascii="Nimbus Roman No9 L" w:hAnsi="Nimbus Roman No9 L" w:eastAsia="仿宋_GB2312" w:cs="宋体"/>
                <w:color w:val="333333"/>
                <w:sz w:val="18"/>
              </w:rPr>
              <w:t> </w:t>
            </w:r>
            <w:r>
              <w:rPr>
                <w:rFonts w:hint="eastAsia" w:ascii="微软雅黑" w:hAnsi="微软雅黑" w:cs="宋体"/>
                <w:color w:val="333333"/>
                <w:sz w:val="18"/>
              </w:rPr>
              <w:t>  （四）不按规定的时间、地点、方式，倾倒垃圾、污水、粪便的，给予警告，可并处50元以上1000元以下罚款；</w:t>
            </w:r>
          </w:p>
          <w:p>
            <w:pPr>
              <w:adjustRightInd/>
              <w:snapToGrid/>
              <w:spacing w:after="0" w:line="360" w:lineRule="atLeast"/>
              <w:rPr>
                <w:rFonts w:hint="eastAsia" w:ascii="微软雅黑" w:hAnsi="微软雅黑" w:eastAsia="微软雅黑" w:cs="宋体"/>
                <w:color w:val="333333"/>
                <w:sz w:val="18"/>
                <w:lang w:eastAsia="zh-CN"/>
              </w:rPr>
            </w:pPr>
            <w:r>
              <w:rPr>
                <w:rFonts w:ascii="Nimbus Roman No9 L" w:hAnsi="Nimbus Roman No9 L" w:eastAsia="仿宋_GB2312" w:cs="宋体"/>
                <w:color w:val="333333"/>
                <w:sz w:val="18"/>
              </w:rPr>
              <w:t> </w:t>
            </w:r>
            <w:r>
              <w:rPr>
                <w:rFonts w:hint="eastAsia" w:ascii="微软雅黑" w:hAnsi="微软雅黑" w:cs="宋体"/>
                <w:color w:val="333333"/>
                <w:sz w:val="18"/>
              </w:rPr>
              <w:t>  （五）不履行卫生责任区清扫保洁义务或者不按规定清运、处理垃圾和粪便的，给予警告，可并处100元以上1000元以下罚款；</w:t>
            </w:r>
          </w:p>
          <w:p>
            <w:pPr>
              <w:adjustRightInd/>
              <w:snapToGrid/>
              <w:spacing w:after="0" w:line="360" w:lineRule="atLeast"/>
              <w:rPr>
                <w:rFonts w:hint="eastAsia" w:ascii="微软雅黑" w:hAnsi="微软雅黑" w:eastAsia="微软雅黑" w:cs="宋体"/>
                <w:color w:val="333333"/>
                <w:sz w:val="18"/>
                <w:lang w:eastAsia="zh-CN"/>
              </w:rPr>
            </w:pPr>
            <w:r>
              <w:rPr>
                <w:rFonts w:ascii="Nimbus Roman No9 L" w:hAnsi="Nimbus Roman No9 L" w:eastAsia="仿宋_GB2312" w:cs="宋体"/>
                <w:color w:val="333333"/>
                <w:sz w:val="18"/>
              </w:rPr>
              <w:t> </w:t>
            </w:r>
            <w:r>
              <w:rPr>
                <w:rFonts w:hint="eastAsia" w:ascii="微软雅黑" w:hAnsi="微软雅黑" w:cs="宋体"/>
                <w:color w:val="333333"/>
                <w:sz w:val="18"/>
              </w:rPr>
              <w:t>  （六）运输液体、散装货物不作密封、包扎、覆盖，造成泄漏、遗撒的，处1000元以上3000元以下罚款；</w:t>
            </w:r>
          </w:p>
          <w:p>
            <w:pPr>
              <w:adjustRightInd/>
              <w:snapToGrid/>
              <w:spacing w:after="0" w:line="360" w:lineRule="atLeast"/>
              <w:rPr>
                <w:rFonts w:ascii="仿宋_GB2312" w:hAnsi="微软雅黑" w:eastAsia="仿宋_GB2312" w:cs="宋体"/>
                <w:color w:val="000000"/>
                <w:sz w:val="18"/>
                <w:szCs w:val="18"/>
              </w:rPr>
            </w:pPr>
            <w:r>
              <w:rPr>
                <w:rFonts w:ascii="Nimbus Roman No9 L" w:hAnsi="Nimbus Roman No9 L" w:eastAsia="仿宋_GB2312" w:cs="宋体"/>
                <w:color w:val="333333"/>
                <w:sz w:val="18"/>
              </w:rPr>
              <w:t> </w:t>
            </w:r>
            <w:r>
              <w:rPr>
                <w:rFonts w:hint="eastAsia" w:ascii="微软雅黑" w:hAnsi="微软雅黑" w:cs="宋体"/>
                <w:color w:val="333333"/>
                <w:sz w:val="18"/>
              </w:rPr>
              <w:t>（七）临街工地不设置护栏或者不作遮挡、停工场地不及时整理并作必要覆盖或者竣工后不及时清理和平整场地，影响市容和环境卫生的，给予警告，可并处1000元以上5000元以下罚款。</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商户或个人</w:t>
            </w:r>
          </w:p>
        </w:tc>
      </w:tr>
      <w:tr>
        <w:tblPrEx>
          <w:tblCellMar>
            <w:top w:w="0" w:type="dxa"/>
            <w:left w:w="0" w:type="dxa"/>
            <w:bottom w:w="0" w:type="dxa"/>
            <w:right w:w="0" w:type="dxa"/>
          </w:tblCellMar>
        </w:tblPrEx>
        <w:trPr>
          <w:trHeight w:val="340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4</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对设置亮化设施与周围环境不协调，妨碍城市公共设施功能，影响交通、市民生活等的处罚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设置亮化设施的单位或个人</w:t>
            </w:r>
          </w:p>
        </w:tc>
      </w:tr>
      <w:tr>
        <w:tblPrEx>
          <w:tblCellMar>
            <w:top w:w="0" w:type="dxa"/>
            <w:left w:w="0" w:type="dxa"/>
            <w:bottom w:w="0" w:type="dxa"/>
            <w:right w:w="0" w:type="dxa"/>
          </w:tblCellMar>
        </w:tblPrEx>
        <w:trPr>
          <w:trHeight w:val="328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5</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对门头牌匾设置不保持外型美观、功能完好，不按规定亮化，未体现书法城特色，不规范使用蒙汉文字，缺字少划的处罚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设置门头牌匾的单位或个人</w:t>
            </w:r>
          </w:p>
        </w:tc>
      </w:tr>
      <w:tr>
        <w:tblPrEx>
          <w:tblCellMar>
            <w:top w:w="0" w:type="dxa"/>
            <w:left w:w="0" w:type="dxa"/>
            <w:bottom w:w="0" w:type="dxa"/>
            <w:right w:w="0" w:type="dxa"/>
          </w:tblCellMar>
        </w:tblPrEx>
        <w:trPr>
          <w:trHeight w:val="354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6</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对不按规定定期维修、油饰或者拆除，不确保安全，给他人造成人身和财产损失的处罚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设置大型户外广告、门头牌匾、LED屏、亮化设施的单位或个人</w:t>
            </w:r>
          </w:p>
        </w:tc>
      </w:tr>
      <w:tr>
        <w:tblPrEx>
          <w:tblCellMar>
            <w:top w:w="0" w:type="dxa"/>
            <w:left w:w="0" w:type="dxa"/>
            <w:bottom w:w="0" w:type="dxa"/>
            <w:right w:w="0" w:type="dxa"/>
          </w:tblCellMar>
        </w:tblPrEx>
        <w:trPr>
          <w:trHeight w:val="324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7</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对擅自在建（构）筑物、城市道路、桥梁、市政公用设施上架设线路、安装设施、设备等的处罚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涉嫌违法的公民、法人或其他组织</w:t>
            </w:r>
          </w:p>
        </w:tc>
      </w:tr>
      <w:tr>
        <w:tblPrEx>
          <w:tblCellMar>
            <w:top w:w="0" w:type="dxa"/>
            <w:left w:w="0" w:type="dxa"/>
            <w:bottom w:w="0" w:type="dxa"/>
            <w:right w:w="0" w:type="dxa"/>
          </w:tblCellMar>
        </w:tblPrEx>
        <w:trPr>
          <w:trHeight w:val="324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8</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对环境卫生设施、消防设施、供电设施、通讯设施、绿化设施、亮化设施等市政公用设施的管理、使用单位未保持设施完好、干净、整洁的处罚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市政公用设施的管理、使用单位</w:t>
            </w:r>
          </w:p>
        </w:tc>
      </w:tr>
      <w:tr>
        <w:tblPrEx>
          <w:tblCellMar>
            <w:top w:w="0" w:type="dxa"/>
            <w:left w:w="0" w:type="dxa"/>
            <w:bottom w:w="0" w:type="dxa"/>
            <w:right w:w="0" w:type="dxa"/>
          </w:tblCellMar>
        </w:tblPrEx>
        <w:trPr>
          <w:trHeight w:val="364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9</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对未经批准临时占用道路、公共场所举办节庆、宣传、文化、体育等活动的，或经批准，举办方不保持活动周围环境卫生整洁以及活动结束后，未及时清理场地，恢复原状的处罚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初次违法，及时清理场地，恢复原状，未造成危害后果的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活动举办方</w:t>
            </w:r>
          </w:p>
        </w:tc>
      </w:tr>
      <w:tr>
        <w:tblPrEx>
          <w:tblCellMar>
            <w:top w:w="0" w:type="dxa"/>
            <w:left w:w="0" w:type="dxa"/>
            <w:bottom w:w="0" w:type="dxa"/>
            <w:right w:w="0" w:type="dxa"/>
          </w:tblCellMar>
        </w:tblPrEx>
        <w:trPr>
          <w:trHeight w:val="350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10</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未对经鉴定不符合抗震要求的市政公用设施进行改造、改建或者抗震加固，又未限制使用的处罚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2.《市政公用设施抗灾设防管理规定》第三十三条 违反本规定，未对经鉴定不符合抗震要求的市政公用设施进行改造、改建或者抗震加固，又未限制使用的，由县级以上地方人民政府住房城乡建设主管部门责令限期改正，逾期不改的，处以1万元以上3万元以下罚款。</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市政设施建设单位</w:t>
            </w:r>
          </w:p>
        </w:tc>
      </w:tr>
      <w:tr>
        <w:tblPrEx>
          <w:tblCellMar>
            <w:top w:w="0" w:type="dxa"/>
            <w:left w:w="0" w:type="dxa"/>
            <w:bottom w:w="0" w:type="dxa"/>
            <w:right w:w="0" w:type="dxa"/>
          </w:tblCellMar>
        </w:tblPrEx>
        <w:trPr>
          <w:trHeight w:val="468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11</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燃气用户不正确使用燃气和管道燃气自闭阀、燃气气瓶减压阀等设施设备;安装、使用不符合国家、自治区有关标准、规范的燃气气瓶、燃气燃烧器具及其连接管、燃气泄漏报警装置，或者未按照要求进行更换;非居民用户拒绝接受燃气经营者的业务指导或者未对从事燃气设施运行、维护和安全管理的人员进行专业技术培训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hint="eastAsia" w:ascii="微软雅黑" w:hAnsi="微软雅黑" w:eastAsia="微软雅黑" w:cs="宋体"/>
                <w:color w:val="333333"/>
                <w:sz w:val="20"/>
                <w:lang w:eastAsia="zh-CN"/>
              </w:rPr>
            </w:pPr>
            <w:r>
              <w:rPr>
                <w:rFonts w:hint="eastAsia" w:ascii="仿宋_GB2312" w:hAnsi="微软雅黑" w:eastAsia="仿宋_GB2312" w:cs="宋体"/>
                <w:color w:val="000000"/>
                <w:sz w:val="20"/>
                <w:szCs w:val="20"/>
              </w:rPr>
              <w:t>2.《内蒙古自治区燃气管理条例》（内蒙古自治区第十三届人民代表大会常务委员会公告第七十八号） 第五十条</w:t>
            </w:r>
            <w:r>
              <w:rPr>
                <w:rFonts w:ascii="Nimbus Roman No9 L" w:hAnsi="Nimbus Roman No9 L" w:eastAsia="仿宋_GB2312" w:cs="宋体"/>
                <w:color w:val="333333"/>
                <w:sz w:val="20"/>
              </w:rPr>
              <w:t> </w:t>
            </w:r>
            <w:r>
              <w:rPr>
                <w:rFonts w:hint="eastAsia" w:ascii="微软雅黑" w:hAnsi="微软雅黑" w:cs="宋体"/>
                <w:color w:val="333333"/>
                <w:sz w:val="20"/>
              </w:rPr>
              <w:t>违反本条例第三十条规定，燃气用户有下列行为之一的，由旗县级以上人民政府燃气管理部门责令限期改正;逾期未改正的，对单位可以处10万元以下罚款，对个人可以处1000元以下罚款;造成损失的，依法承担赔偿责任;构成犯罪的，依法追究刑事责任：</w:t>
            </w:r>
          </w:p>
          <w:p>
            <w:pPr>
              <w:adjustRightInd/>
              <w:snapToGrid/>
              <w:spacing w:after="0" w:line="400" w:lineRule="atLeast"/>
              <w:rPr>
                <w:rFonts w:hint="eastAsia" w:ascii="微软雅黑" w:hAnsi="微软雅黑" w:eastAsia="微软雅黑" w:cs="宋体"/>
                <w:color w:val="333333"/>
                <w:sz w:val="20"/>
                <w:lang w:eastAsia="zh-CN"/>
              </w:rPr>
            </w:pPr>
            <w:r>
              <w:rPr>
                <w:rFonts w:hint="eastAsia" w:ascii="微软雅黑" w:hAnsi="微软雅黑" w:cs="宋体"/>
                <w:color w:val="333333"/>
                <w:sz w:val="20"/>
              </w:rPr>
              <w:t>    （一）不正确使用燃气和管道燃气自闭阀、燃气气瓶减压阀等设施设备的;</w:t>
            </w:r>
          </w:p>
          <w:p>
            <w:pPr>
              <w:adjustRightInd/>
              <w:snapToGrid/>
              <w:spacing w:after="0" w:line="400" w:lineRule="atLeast"/>
              <w:rPr>
                <w:rFonts w:hint="eastAsia" w:ascii="微软雅黑" w:hAnsi="微软雅黑" w:eastAsia="微软雅黑" w:cs="宋体"/>
                <w:color w:val="333333"/>
                <w:sz w:val="20"/>
                <w:lang w:eastAsia="zh-CN"/>
              </w:rPr>
            </w:pPr>
            <w:r>
              <w:rPr>
                <w:rFonts w:hint="eastAsia" w:ascii="微软雅黑" w:hAnsi="微软雅黑" w:cs="宋体"/>
                <w:color w:val="333333"/>
                <w:sz w:val="20"/>
              </w:rPr>
              <w:t>    （二）安装、使用不符合国家、自治区有关标准、规范的燃气气瓶、燃气燃烧器具及其连接管、燃气泄漏报警装置，或者未按照要求进行更换的;</w:t>
            </w:r>
          </w:p>
          <w:p>
            <w:pPr>
              <w:adjustRightInd/>
              <w:snapToGrid/>
              <w:spacing w:after="0" w:line="400" w:lineRule="atLeast"/>
              <w:rPr>
                <w:rFonts w:ascii="仿宋_GB2312" w:hAnsi="微软雅黑" w:eastAsia="仿宋_GB2312" w:cs="宋体"/>
                <w:color w:val="000000"/>
                <w:sz w:val="20"/>
                <w:szCs w:val="20"/>
              </w:rPr>
            </w:pPr>
            <w:r>
              <w:rPr>
                <w:rFonts w:hint="eastAsia" w:ascii="微软雅黑" w:hAnsi="微软雅黑" w:cs="宋体"/>
                <w:color w:val="333333"/>
                <w:sz w:val="20"/>
              </w:rPr>
              <w:t>    （三）非居民用户拒绝接受燃气经营者的业务指导或者未对从事燃气设施运行、维护和安全管理的人员进行专业技术培训的。</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燃气用户</w:t>
            </w:r>
          </w:p>
        </w:tc>
      </w:tr>
      <w:tr>
        <w:tblPrEx>
          <w:tblCellMar>
            <w:top w:w="0" w:type="dxa"/>
            <w:left w:w="0" w:type="dxa"/>
            <w:bottom w:w="0" w:type="dxa"/>
            <w:right w:w="0" w:type="dxa"/>
          </w:tblCellMar>
        </w:tblPrEx>
        <w:trPr>
          <w:trHeight w:val="534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12</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燃气用户在燃气输配管网上直接安装燃气燃烧器具;在设有燃气管道设施的房间内放置炉火或者存放易燃易爆物品;拆卸、改装、加热、摔、砸燃气气瓶，或者倒置、横卧使用燃气气瓶;在地下室、半地下室和高层民用建筑内放置瓶装燃气设施和气瓶，使用瓶装燃气;转灌瓶装燃气、倾倒残液;自行涂改燃气气瓶检验标识、识别标识，或者拆修瓶阀、附件；使用超期未检验、检验不合格或者报废燃气气瓶;购买和使用非法充装、非法经营的瓶装燃气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hint="eastAsia" w:ascii="微软雅黑" w:hAnsi="微软雅黑" w:eastAsia="微软雅黑" w:cs="宋体"/>
                <w:color w:val="333333"/>
                <w:sz w:val="20"/>
                <w:lang w:eastAsia="zh-CN"/>
              </w:rPr>
            </w:pPr>
            <w:r>
              <w:rPr>
                <w:rFonts w:hint="eastAsia" w:ascii="仿宋_GB2312" w:hAnsi="微软雅黑" w:eastAsia="仿宋_GB2312" w:cs="宋体"/>
                <w:color w:val="000000"/>
                <w:sz w:val="20"/>
                <w:szCs w:val="20"/>
              </w:rPr>
              <w:t>2.《内蒙古自治区燃气管理条例》（内蒙古自治区第十三届人民代表大会常务委员会公告第七十八号） 第五十一条</w:t>
            </w:r>
            <w:r>
              <w:rPr>
                <w:rFonts w:ascii="Nimbus Roman No9 L" w:hAnsi="Nimbus Roman No9 L" w:eastAsia="仿宋_GB2312" w:cs="宋体"/>
                <w:color w:val="333333"/>
                <w:sz w:val="20"/>
              </w:rPr>
              <w:t> </w:t>
            </w:r>
            <w:r>
              <w:rPr>
                <w:rFonts w:hint="eastAsia" w:ascii="微软雅黑" w:hAnsi="微软雅黑" w:cs="宋体"/>
                <w:color w:val="333333"/>
                <w:sz w:val="20"/>
              </w:rPr>
              <w:t>违反本条例第三十一条规定，燃气用户有下列行为之一的，由旗县级以上人民政府燃气管理部门责令改正;逾期未改正的，对单位可以处10万元以下罚款，对个人可以处1000元以下罚款;造成损失的，依法承担赔偿责任;构成犯罪的，依法追究刑事责任：</w:t>
            </w:r>
          </w:p>
          <w:p>
            <w:pPr>
              <w:adjustRightInd/>
              <w:snapToGrid/>
              <w:spacing w:after="0" w:line="400" w:lineRule="atLeast"/>
              <w:rPr>
                <w:rFonts w:hint="eastAsia" w:ascii="微软雅黑" w:hAnsi="微软雅黑" w:eastAsia="微软雅黑" w:cs="宋体"/>
                <w:color w:val="333333"/>
                <w:sz w:val="20"/>
                <w:lang w:eastAsia="zh-CN"/>
              </w:rPr>
            </w:pPr>
            <w:r>
              <w:rPr>
                <w:rFonts w:hint="eastAsia" w:ascii="微软雅黑" w:hAnsi="微软雅黑" w:cs="宋体"/>
                <w:color w:val="333333"/>
                <w:sz w:val="20"/>
              </w:rPr>
              <w:t>    （一）在燃气输配管网上直接安装燃气燃烧器具的;</w:t>
            </w:r>
          </w:p>
          <w:p>
            <w:pPr>
              <w:adjustRightInd/>
              <w:snapToGrid/>
              <w:spacing w:after="0" w:line="400" w:lineRule="atLeast"/>
              <w:rPr>
                <w:rFonts w:hint="eastAsia" w:ascii="微软雅黑" w:hAnsi="微软雅黑" w:eastAsia="微软雅黑" w:cs="宋体"/>
                <w:color w:val="333333"/>
                <w:sz w:val="20"/>
                <w:lang w:eastAsia="zh-CN"/>
              </w:rPr>
            </w:pPr>
            <w:r>
              <w:rPr>
                <w:rFonts w:hint="eastAsia" w:ascii="微软雅黑" w:hAnsi="微软雅黑" w:cs="宋体"/>
                <w:color w:val="333333"/>
                <w:sz w:val="20"/>
              </w:rPr>
              <w:t>    （二）在设有燃气管道设施的房间内放置炉火或者存放易燃易爆物品的;</w:t>
            </w:r>
          </w:p>
          <w:p>
            <w:pPr>
              <w:adjustRightInd/>
              <w:snapToGrid/>
              <w:spacing w:after="0" w:line="400" w:lineRule="atLeast"/>
              <w:rPr>
                <w:rFonts w:hint="eastAsia" w:ascii="微软雅黑" w:hAnsi="微软雅黑" w:eastAsia="微软雅黑" w:cs="宋体"/>
                <w:color w:val="333333"/>
                <w:sz w:val="20"/>
                <w:lang w:eastAsia="zh-CN"/>
              </w:rPr>
            </w:pPr>
            <w:r>
              <w:rPr>
                <w:rFonts w:hint="eastAsia" w:ascii="微软雅黑" w:hAnsi="微软雅黑" w:cs="宋体"/>
                <w:color w:val="333333"/>
                <w:sz w:val="20"/>
              </w:rPr>
              <w:t>    （三）拆卸、改装、加热、摔、砸燃气气瓶，或者倒置、横卧使用燃气气瓶的;</w:t>
            </w:r>
          </w:p>
          <w:p>
            <w:pPr>
              <w:adjustRightInd/>
              <w:snapToGrid/>
              <w:spacing w:after="0" w:line="400" w:lineRule="atLeast"/>
              <w:rPr>
                <w:rFonts w:hint="eastAsia" w:ascii="微软雅黑" w:hAnsi="微软雅黑" w:eastAsia="微软雅黑" w:cs="宋体"/>
                <w:color w:val="333333"/>
                <w:sz w:val="20"/>
                <w:lang w:eastAsia="zh-CN"/>
              </w:rPr>
            </w:pPr>
            <w:r>
              <w:rPr>
                <w:rFonts w:hint="eastAsia" w:ascii="微软雅黑" w:hAnsi="微软雅黑" w:cs="宋体"/>
                <w:color w:val="333333"/>
                <w:sz w:val="20"/>
              </w:rPr>
              <w:t>    （四）在地下室、半地下室和高层民用建筑内放置瓶装燃气设施和气瓶，使用瓶装燃气的;</w:t>
            </w:r>
          </w:p>
          <w:p>
            <w:pPr>
              <w:adjustRightInd/>
              <w:snapToGrid/>
              <w:spacing w:after="0" w:line="400" w:lineRule="atLeast"/>
              <w:rPr>
                <w:rFonts w:hint="eastAsia" w:ascii="微软雅黑" w:hAnsi="微软雅黑" w:eastAsia="微软雅黑" w:cs="宋体"/>
                <w:color w:val="333333"/>
                <w:sz w:val="20"/>
                <w:lang w:eastAsia="zh-CN"/>
              </w:rPr>
            </w:pPr>
            <w:r>
              <w:rPr>
                <w:rFonts w:hint="eastAsia" w:ascii="微软雅黑" w:hAnsi="微软雅黑" w:cs="宋体"/>
                <w:color w:val="333333"/>
                <w:sz w:val="20"/>
              </w:rPr>
              <w:t>    （五）转灌瓶装燃气、倾倒残液的;</w:t>
            </w:r>
          </w:p>
          <w:p>
            <w:pPr>
              <w:adjustRightInd/>
              <w:snapToGrid/>
              <w:spacing w:after="0" w:line="400" w:lineRule="atLeast"/>
              <w:rPr>
                <w:rFonts w:hint="eastAsia" w:ascii="微软雅黑" w:hAnsi="微软雅黑" w:eastAsia="微软雅黑" w:cs="宋体"/>
                <w:color w:val="333333"/>
                <w:sz w:val="20"/>
                <w:lang w:eastAsia="zh-CN"/>
              </w:rPr>
            </w:pPr>
            <w:r>
              <w:rPr>
                <w:rFonts w:hint="eastAsia" w:ascii="微软雅黑" w:hAnsi="微软雅黑" w:cs="宋体"/>
                <w:color w:val="333333"/>
                <w:sz w:val="20"/>
              </w:rPr>
              <w:t>    （六）自行涂改燃气气瓶检验标识、识别标识，或者拆修瓶阀、附件的;</w:t>
            </w:r>
          </w:p>
          <w:p>
            <w:pPr>
              <w:adjustRightInd/>
              <w:snapToGrid/>
              <w:spacing w:after="0" w:line="400" w:lineRule="atLeast"/>
              <w:rPr>
                <w:rFonts w:hint="eastAsia" w:ascii="微软雅黑" w:hAnsi="微软雅黑" w:eastAsia="微软雅黑" w:cs="宋体"/>
                <w:color w:val="333333"/>
                <w:sz w:val="20"/>
                <w:lang w:eastAsia="zh-CN"/>
              </w:rPr>
            </w:pPr>
            <w:r>
              <w:rPr>
                <w:rFonts w:hint="eastAsia" w:ascii="微软雅黑" w:hAnsi="微软雅黑" w:cs="宋体"/>
                <w:color w:val="333333"/>
                <w:sz w:val="20"/>
              </w:rPr>
              <w:t>    （七）使用超期未检验、检验不合格或者报废燃气气瓶的;</w:t>
            </w:r>
          </w:p>
          <w:p>
            <w:pPr>
              <w:adjustRightInd/>
              <w:snapToGrid/>
              <w:spacing w:after="0" w:line="400" w:lineRule="atLeast"/>
              <w:rPr>
                <w:rFonts w:ascii="仿宋_GB2312" w:hAnsi="微软雅黑" w:eastAsia="仿宋_GB2312" w:cs="宋体"/>
                <w:color w:val="000000"/>
                <w:sz w:val="20"/>
                <w:szCs w:val="20"/>
              </w:rPr>
            </w:pPr>
            <w:r>
              <w:rPr>
                <w:rFonts w:hint="eastAsia" w:ascii="微软雅黑" w:hAnsi="微软雅黑" w:cs="宋体"/>
                <w:color w:val="333333"/>
                <w:sz w:val="20"/>
              </w:rPr>
              <w:t>    （八）购买和使用非法充装、非法经营的瓶装燃气的。</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燃气用户</w:t>
            </w:r>
          </w:p>
        </w:tc>
      </w:tr>
      <w:tr>
        <w:tblPrEx>
          <w:tblCellMar>
            <w:top w:w="0" w:type="dxa"/>
            <w:left w:w="0" w:type="dxa"/>
            <w:bottom w:w="0" w:type="dxa"/>
            <w:right w:w="0" w:type="dxa"/>
          </w:tblCellMar>
        </w:tblPrEx>
        <w:trPr>
          <w:trHeight w:val="544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13</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擅自操作公用燃气阀门的；将燃气管道作为负重支架或者接地引线的；安装、使用不符合气源要求的燃气燃烧器具的；擅自安装、改装、拆除户内燃气设施和燃气计量装置的；在不具备安全条件的场所使用、储存燃气的；改变燃气用途或者转供燃气的；未设立售后服务站点或者未配备经考核合格的燃气燃烧器具安装、维修人员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初次违法，及时纠正违法行为，未造成危害后果</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2.《城镇燃气管理条例》第四十九条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(一)擅自操作公用燃气阀门的；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(二)将燃气管道作为负重支架或者接地引线的；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(三)安装、使用不符合气源要求的燃气燃烧器具的；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(四)擅自安装、改装、拆除户内燃气设施和燃气计量装置的；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(五)在不具备安全条件的场所使用、储存燃气的；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(六)改变燃气用途或者转供燃气的；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(七)未设立售后服务站点或者未配备经考核合格的燃气燃烧器具安装、维修人员的；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(八)燃气燃烧器具的安装、维修不符合国家有关标准的。</w:t>
            </w:r>
          </w:p>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盗用燃气的，依照有关治安管理处罚的法律规定进行处罚。</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燃气用户</w:t>
            </w:r>
          </w:p>
        </w:tc>
      </w:tr>
      <w:tr>
        <w:tblPrEx>
          <w:tblCellMar>
            <w:top w:w="0" w:type="dxa"/>
            <w:left w:w="0" w:type="dxa"/>
            <w:bottom w:w="0" w:type="dxa"/>
            <w:right w:w="0" w:type="dxa"/>
          </w:tblCellMar>
        </w:tblPrEx>
        <w:trPr>
          <w:trHeight w:val="436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14</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对热用户在室内供热设施上安装换热装置的；从供热设施中取用供热循环水的；未经供热单位同意，擅自改动供热管道、增设散热器或者改变用热性质的；在供热管道上安装管道泵等改变用热运行方式的处罚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2.《内蒙古自治区城镇供热条例》（内蒙古自治区第十一届人民代表大会常务委员会第二十二次会议通过，2020年9月23日修订） 第五十四条 违反本条例规定，热用户有下列行为之一的，由供热行政主管部门责令限期改正；逾期未改正的，对个人处以500元以下的罚款，对单位处以5000元以下的罚款；造成损失的，依法承担赔偿责任：</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（一）在室内供热设施上安装换热装置的；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（二）从供热设施中取用供热循环水的；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（三）未经供热单位同意，擅自改动供热管道、增设散热器或者改变用热性质的；</w:t>
            </w:r>
          </w:p>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（四）在供热管道上安装管道泵等改变用热运行方式的。</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热用户</w:t>
            </w:r>
          </w:p>
        </w:tc>
      </w:tr>
      <w:tr>
        <w:tblPrEx>
          <w:tblCellMar>
            <w:top w:w="0" w:type="dxa"/>
            <w:left w:w="0" w:type="dxa"/>
            <w:bottom w:w="0" w:type="dxa"/>
            <w:right w:w="0" w:type="dxa"/>
          </w:tblCellMar>
        </w:tblPrEx>
        <w:trPr>
          <w:trHeight w:val="338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15</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对单位或者个人擅自改装、移动、覆盖、拆除、损坏供热设施和供热安全警示识别标志的处罚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2.《内蒙古自治区城镇供热条例》 第五十六条 任何单位或者个人违反本条例规定，擅自改装、移动、覆盖、拆除、损坏供热设施和供热安全警示识别标志的，由供热行政主管部门责令停止违法行为，限期改正；逾期未改正的，对个人处以500元以上5000元以下的罚款，对单位处以1万元以上5万元以下的罚款；造成损失的，依法承担赔偿责任。</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擅自改装、移动、覆盖、拆除、损坏供热设施和供热安全警示识别的单位和个人</w:t>
            </w:r>
          </w:p>
        </w:tc>
      </w:tr>
      <w:tr>
        <w:tblPrEx>
          <w:tblCellMar>
            <w:top w:w="0" w:type="dxa"/>
            <w:left w:w="0" w:type="dxa"/>
            <w:bottom w:w="0" w:type="dxa"/>
            <w:right w:w="0" w:type="dxa"/>
          </w:tblCellMar>
        </w:tblPrEx>
        <w:trPr>
          <w:trHeight w:val="330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16</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对未取得设计、施工资格或者未按照资质等级承担城市道路的设计、施工任务的；未按照城市道路设计、施工技术规范设计、施工的；未按照设计图纸施工或者擅自修改图纸的处罚</w:t>
            </w:r>
          </w:p>
        </w:tc>
        <w:tc>
          <w:tcPr>
            <w:tcW w:w="3945"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初次违法，及时纠正违法行为，未造成危害后果</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2.《城市道路管理条例》（中华人民共和国国务院令第710号）  第三十九条　违反本条例的规定，有下列行为之一的，由市政工程行政主管部门责令停止设计、施工，限期改正，可以并处3万元以下的罚款；已经取得设计、施工资格证书，情节严重的，提请原发证机关吊销设计、施工资格证书：</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（一）未取得设计、施工资格或者未按照资质等级承担城市道路的设计、施工任务的；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（二）未按照城市道路设计、施工技术规范设计、施工的；</w:t>
            </w:r>
          </w:p>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（三）未按照设计图纸施工或者擅自修改图纸的。</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市政建设设计单位、施工单位</w:t>
            </w:r>
          </w:p>
        </w:tc>
      </w:tr>
      <w:tr>
        <w:tblPrEx>
          <w:tblCellMar>
            <w:top w:w="0" w:type="dxa"/>
            <w:left w:w="0" w:type="dxa"/>
            <w:bottom w:w="0" w:type="dxa"/>
            <w:right w:w="0" w:type="dxa"/>
          </w:tblCellMar>
        </w:tblPrEx>
        <w:trPr>
          <w:trHeight w:val="558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17</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2.《城市道路管理条例》（根据2019年3月24日《国务院关于修改部分行政法规的决定》第三次修订）</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第四十二条　违反本条例第二十七条规定，或者有下列行为之一的，由市政工程行政主管部门或者其他有关部门责令限期改正，可以处以2万元以下的罚款；造成损失的，应当依法承担赔偿责任：</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(一)未对设在城市道路上的各种管线的检查井、箱盖或者城市道路附属设施的缺损及时补缺或者修复的；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(二)未在城市道路施工现场设置明显标志和安全防围设施的；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(三)占用城市道路期满或者挖掘城市道路后，不及时清理现场的；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(四)依附于城市道路建设各种管线、杆线等设施，不按照规定办理批准手续的；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(五)紧急抢修埋设在城市道路下的管线，不按照规定补办批准手续的；</w:t>
            </w:r>
          </w:p>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(六)未按照批准的位置、面积、期限占用或者挖掘城市道路，或者需要移动位置、扩大面积、延长时间，未提前办理变更审批手续的。</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市政道路运营管理单位、建设单位</w:t>
            </w:r>
          </w:p>
        </w:tc>
      </w:tr>
      <w:tr>
        <w:tblPrEx>
          <w:tblCellMar>
            <w:top w:w="0" w:type="dxa"/>
            <w:left w:w="0" w:type="dxa"/>
            <w:bottom w:w="0" w:type="dxa"/>
            <w:right w:w="0" w:type="dxa"/>
          </w:tblCellMar>
        </w:tblPrEx>
        <w:trPr>
          <w:trHeight w:val="318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18</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对城镇污水处理厂已建成并具备运行条件而不组织运行的；未按规定安装符合国家要求的中控系统或者不正常运行中控系统的处罚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初次违法，及时纠正违法行为，未造成危害后果的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2.《内蒙古自治区城镇污水处理厂运行监督管理办法》第二十条 城镇污水处理厂违反本办法规定，有下列情形之一的，由旗县级以上人民政府建设行政主管部门责令限期改正，逾期不改正的，处以3万元以下罚款:</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（一）城镇污水处理厂已建成并具备运行条件而不组织运行的；</w:t>
            </w:r>
          </w:p>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（二）未按规定安装符合国家要求的中控系统或者不正常运行中控系统的。</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城镇污水处理厂</w:t>
            </w:r>
          </w:p>
        </w:tc>
      </w:tr>
      <w:tr>
        <w:tblPrEx>
          <w:tblCellMar>
            <w:top w:w="0" w:type="dxa"/>
            <w:left w:w="0" w:type="dxa"/>
            <w:bottom w:w="0" w:type="dxa"/>
            <w:right w:w="0" w:type="dxa"/>
          </w:tblCellMar>
        </w:tblPrEx>
        <w:trPr>
          <w:trHeight w:val="316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19</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对工程建设项目的附属绿化工程设计方案，未经批准或者未按照批准的设计方案施工的处罚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2.《城市绿化条例》（根据2017年3月1日《国务院关于修改和废止部分行政法规的决定》第二次修订）第二十五条　工程建设项目的附属绿化工程设计方案，未经批准或者未按照批准的设计方案施工的，由城市人民政府城市绿化行政主管部门责令停止施工、限期改正或者采取其他补救措施。</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喀喇沁旗城市管理综合执法局</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绿化工程施工单位</w:t>
            </w:r>
          </w:p>
        </w:tc>
      </w:tr>
      <w:tr>
        <w:tblPrEx>
          <w:tblCellMar>
            <w:top w:w="0" w:type="dxa"/>
            <w:left w:w="0" w:type="dxa"/>
            <w:bottom w:w="0" w:type="dxa"/>
            <w:right w:w="0" w:type="dxa"/>
          </w:tblCellMar>
        </w:tblPrEx>
        <w:trPr>
          <w:trHeight w:val="370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20</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对损坏城市树木花草的处罚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2.《城市绿化条例》（根据2017年3月1日《国务院关于修改和废止部分行政法规的决定》第二次修订）第二十六条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（一）损坏城市树木花草的;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（二）擅自砍伐城市树木的；</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（三）砍伐、擅自迁移古树名木或者因养护不善致使古树名木受到损伤或者死亡的；</w:t>
            </w:r>
          </w:p>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（四）损坏城市绿化设施的。</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乌海市城市管理综合执法局（滨河执法支队、经济开发区执法支队）</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破坏城市树木花草的单位或个人</w:t>
            </w:r>
          </w:p>
        </w:tc>
      </w:tr>
      <w:tr>
        <w:tblPrEx>
          <w:tblCellMar>
            <w:top w:w="0" w:type="dxa"/>
            <w:left w:w="0" w:type="dxa"/>
            <w:bottom w:w="0" w:type="dxa"/>
            <w:right w:w="0" w:type="dxa"/>
          </w:tblCellMar>
        </w:tblPrEx>
        <w:trPr>
          <w:trHeight w:val="2920" w:hRule="atLeast"/>
        </w:trPr>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21</w:t>
            </w:r>
          </w:p>
        </w:tc>
        <w:tc>
          <w:tcPr>
            <w:tcW w:w="203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对未经同意擅自占用城市绿化用地的处罚</w:t>
            </w:r>
          </w:p>
        </w:tc>
        <w:tc>
          <w:tcPr>
            <w:tcW w:w="394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初次违法，及时改正，未造成危害后果的</w:t>
            </w:r>
          </w:p>
        </w:tc>
        <w:tc>
          <w:tcPr>
            <w:tcW w:w="9908"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1.《中华人民共和国行政处罚法》（2021年修订）第三十三条　违法行为轻微并及时改正，没有造成危害后果的，不予行政处罚。初次违法且危害后果轻微并及时改正的，可以不予行政处罚。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当事人有证据足以证明没有主观过错的，不予行政处罚。法律、行政法规另有规定的，从其规定。</w:t>
            </w:r>
          </w:p>
          <w:p>
            <w:pPr>
              <w:adjustRightInd/>
              <w:snapToGrid/>
              <w:spacing w:after="0" w:line="400" w:lineRule="atLeast"/>
              <w:rPr>
                <w:rFonts w:hint="eastAsia" w:ascii="仿宋_GB2312" w:hAnsi="微软雅黑" w:eastAsia="仿宋_GB2312" w:cs="宋体"/>
                <w:color w:val="000000"/>
                <w:sz w:val="20"/>
                <w:szCs w:val="20"/>
                <w:lang w:eastAsia="zh-CN"/>
              </w:rPr>
            </w:pPr>
            <w:r>
              <w:rPr>
                <w:rFonts w:hint="eastAsia" w:ascii="仿宋_GB2312" w:hAnsi="微软雅黑" w:eastAsia="仿宋_GB2312" w:cs="宋体"/>
                <w:color w:val="000000"/>
                <w:sz w:val="20"/>
                <w:szCs w:val="20"/>
              </w:rPr>
              <w:t>对当事人的违法行为依法不予行政处罚的，行政机关应当对当事人进行教育。</w:t>
            </w:r>
          </w:p>
          <w:p>
            <w:pPr>
              <w:adjustRightInd/>
              <w:snapToGrid/>
              <w:spacing w:after="0" w:line="400" w:lineRule="atLeast"/>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2.《城市绿化条例》（根据2017年3月1日《国务院关于修改和废止部分行政法规的决定》第二次修订）第二十七条　未经同意擅自占用城市绿化用地的，由城市人民政府城市绿化行政主管部门责令限期退还、恢复原状，可以并处罚款；造成损失的，应当负赔偿责任。</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both"/>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乌海市城市管理综合执法局（滨河执法支队、经济开发区执法支队）</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150" w:type="dxa"/>
              <w:right w:w="15" w:type="dxa"/>
            </w:tcMar>
            <w:vAlign w:val="center"/>
          </w:tcPr>
          <w:p>
            <w:pPr>
              <w:adjustRightInd/>
              <w:snapToGrid/>
              <w:spacing w:after="0" w:line="400" w:lineRule="atLeast"/>
              <w:jc w:val="center"/>
              <w:rPr>
                <w:rFonts w:ascii="仿宋_GB2312" w:hAnsi="微软雅黑" w:eastAsia="仿宋_GB2312" w:cs="宋体"/>
                <w:color w:val="000000"/>
                <w:sz w:val="20"/>
                <w:szCs w:val="20"/>
              </w:rPr>
            </w:pPr>
            <w:r>
              <w:rPr>
                <w:rFonts w:hint="eastAsia" w:ascii="仿宋_GB2312" w:hAnsi="微软雅黑" w:eastAsia="仿宋_GB2312" w:cs="宋体"/>
                <w:color w:val="000000"/>
                <w:sz w:val="20"/>
                <w:szCs w:val="20"/>
              </w:rPr>
              <w:t>擅自占用城市绿地的单位或者个人</w:t>
            </w:r>
          </w:p>
        </w:tc>
      </w:tr>
    </w:tbl>
    <w:p/>
    <w:sectPr>
      <w:headerReference r:id="rId7" w:type="first"/>
      <w:footerReference r:id="rId9" w:type="first"/>
      <w:headerReference r:id="rId5" w:type="default"/>
      <w:headerReference r:id="rId6" w:type="even"/>
      <w:footerReference r:id="rId8" w:type="even"/>
      <w:pgSz w:w="23814" w:h="16839" w:orient="landscape"/>
      <w:pgMar w:top="1800" w:right="1440" w:bottom="1800" w:left="144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Nimbus Roman No9 L">
    <w:altName w:val="Times New Roman"/>
    <w:panose1 w:val="00000000000000000000"/>
    <w:charset w:val="00"/>
    <w:family w:val="roman"/>
    <w:pitch w:val="default"/>
    <w:sig w:usb0="00000000" w:usb1="00000000" w:usb2="00000000" w:usb3="00000000" w:csb0="0000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方正小标宋简体" w:eastAsia="方正小标宋简体"/>
        <w:sz w:val="44"/>
        <w:szCs w:val="44"/>
      </w:rPr>
    </w:pPr>
    <w:r>
      <w:rPr>
        <w:rFonts w:hint="eastAsia" w:ascii="方正小标宋简体" w:eastAsia="方正小标宋简体"/>
        <w:sz w:val="44"/>
        <w:szCs w:val="44"/>
      </w:rPr>
      <w:t>喀喇</w:t>
    </w:r>
    <w:r>
      <w:rPr>
        <w:rFonts w:hint="eastAsia" w:ascii="方正小标宋简体" w:eastAsia="方正小标宋简体"/>
        <w:sz w:val="44"/>
        <w:szCs w:val="44"/>
        <w:lang w:eastAsia="zh-CN"/>
      </w:rPr>
      <w:t>沁</w:t>
    </w:r>
    <w:r>
      <w:rPr>
        <w:rFonts w:hint="eastAsia" w:ascii="方正小标宋简体" w:eastAsia="方正小标宋简体"/>
        <w:sz w:val="44"/>
        <w:szCs w:val="44"/>
      </w:rPr>
      <w:t>旗城市管理综合行政执法局可以不予实施行政强制措施清单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M2RlN2Y2NjA4MjI0MjhiMDgzZWEwM2IxNmI4YTcifQ=="/>
    <w:docVar w:name="KSO_WPS_MARK_KEY" w:val="53d31110-eefe-4df7-abd7-73ea149f5302"/>
  </w:docVars>
  <w:rsids>
    <w:rsidRoot w:val="00517CD6"/>
    <w:rsid w:val="001438A8"/>
    <w:rsid w:val="00323B43"/>
    <w:rsid w:val="003D37D8"/>
    <w:rsid w:val="004358AB"/>
    <w:rsid w:val="00491BA0"/>
    <w:rsid w:val="004E589A"/>
    <w:rsid w:val="00517CD6"/>
    <w:rsid w:val="007D4F46"/>
    <w:rsid w:val="008B7726"/>
    <w:rsid w:val="096968C5"/>
    <w:rsid w:val="15CC7926"/>
    <w:rsid w:val="266E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font1"/>
    <w:basedOn w:val="5"/>
    <w:qFormat/>
    <w:uiPriority w:val="0"/>
  </w:style>
  <w:style w:type="character" w:customStyle="1" w:styleId="7">
    <w:name w:val="font2"/>
    <w:basedOn w:val="5"/>
    <w:qFormat/>
    <w:uiPriority w:val="0"/>
  </w:style>
  <w:style w:type="character" w:customStyle="1" w:styleId="8">
    <w:name w:val="font0"/>
    <w:basedOn w:val="5"/>
    <w:qFormat/>
    <w:uiPriority w:val="0"/>
  </w:style>
  <w:style w:type="character" w:customStyle="1" w:styleId="9">
    <w:name w:val="font3"/>
    <w:basedOn w:val="5"/>
    <w:qFormat/>
    <w:uiPriority w:val="0"/>
  </w:style>
  <w:style w:type="character" w:customStyle="1" w:styleId="10">
    <w:name w:val="页眉 Char"/>
    <w:basedOn w:val="5"/>
    <w:link w:val="3"/>
    <w:semiHidden/>
    <w:qFormat/>
    <w:uiPriority w:val="99"/>
    <w:rPr>
      <w:rFonts w:ascii="Tahoma" w:hAnsi="Tahoma"/>
      <w:sz w:val="18"/>
      <w:szCs w:val="18"/>
    </w:rPr>
  </w:style>
  <w:style w:type="character" w:customStyle="1" w:styleId="11">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9736</Words>
  <Characters>9935</Characters>
  <Lines>82</Lines>
  <Paragraphs>23</Paragraphs>
  <TotalTime>213</TotalTime>
  <ScaleCrop>false</ScaleCrop>
  <LinksUpToDate>false</LinksUpToDate>
  <CharactersWithSpaces>10063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2023-01-10T02:25:00Z</dcterms:created>
  <dc:creator>user</dc:creator>
  <cp:lastModifiedBy>瑶瑶</cp:lastModifiedBy>
  <cp:lastPrinted>2023-01-10T02:34:00Z</cp:lastPrinted>
  <dcterms:modified xsi:type="dcterms:W3CDTF">2023-08-04T07:13:37Z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001808D37A304DB6BB9AD6B542FADCB8_13</vt:lpwstr>
  </property>
</Properties>
</file>